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1A" w:rsidRPr="004E751A" w:rsidRDefault="004E751A" w:rsidP="004E751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4E751A">
        <w:rPr>
          <w:rFonts w:ascii="Times New Roman" w:hAnsi="Times New Roman" w:cs="Times New Roman"/>
          <w:sz w:val="20"/>
          <w:szCs w:val="20"/>
          <w:lang w:val="en-US"/>
        </w:rPr>
        <w:t>Aprobat la ședința Consiliului</w:t>
      </w:r>
    </w:p>
    <w:p w:rsidR="004E751A" w:rsidRPr="004E751A" w:rsidRDefault="004E751A" w:rsidP="004B703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4E751A">
        <w:rPr>
          <w:rFonts w:ascii="Times New Roman" w:hAnsi="Times New Roman" w:cs="Times New Roman"/>
          <w:sz w:val="20"/>
          <w:szCs w:val="20"/>
          <w:lang w:val="en-US"/>
        </w:rPr>
        <w:t xml:space="preserve">prin </w:t>
      </w:r>
      <w:r w:rsidR="00C374FD">
        <w:rPr>
          <w:rFonts w:ascii="Times New Roman" w:hAnsi="Times New Roman" w:cs="Times New Roman"/>
          <w:sz w:val="20"/>
          <w:szCs w:val="20"/>
          <w:lang w:val="en-US"/>
        </w:rPr>
        <w:t xml:space="preserve">process </w:t>
      </w:r>
      <w:r w:rsidRPr="004E751A">
        <w:rPr>
          <w:rFonts w:ascii="Times New Roman" w:hAnsi="Times New Roman" w:cs="Times New Roman"/>
          <w:sz w:val="20"/>
          <w:szCs w:val="20"/>
          <w:lang w:val="en-US"/>
        </w:rPr>
        <w:t>-</w:t>
      </w:r>
      <w:r w:rsidR="00C374F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0"/>
          <w:szCs w:val="20"/>
          <w:lang w:val="en-US"/>
        </w:rPr>
        <w:t xml:space="preserve">verbal </w:t>
      </w:r>
      <w:r w:rsidR="004B7032">
        <w:rPr>
          <w:rFonts w:ascii="Times New Roman" w:hAnsi="Times New Roman" w:cs="Times New Roman"/>
          <w:sz w:val="20"/>
          <w:szCs w:val="20"/>
          <w:lang w:val="en-US"/>
        </w:rPr>
        <w:t>din 17/12/2024</w:t>
      </w:r>
      <w:bookmarkStart w:id="0" w:name="_GoBack"/>
      <w:bookmarkEnd w:id="0"/>
    </w:p>
    <w:p w:rsidR="004E751A" w:rsidRDefault="004E751A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E751A" w:rsidRPr="004E751A" w:rsidRDefault="004E751A" w:rsidP="004E751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REGULAMENT</w:t>
      </w:r>
    </w:p>
    <w:p w:rsidR="000904D2" w:rsidRDefault="004E751A" w:rsidP="000904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cu privire la neadmiterea, denunţarea, tratarea și evidența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cazurilor </w:t>
      </w:r>
    </w:p>
    <w:p w:rsidR="004E751A" w:rsidRPr="004E751A" w:rsidRDefault="004E751A" w:rsidP="004E751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de influenţă necorespunzătoare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în cadrul </w:t>
      </w:r>
      <w:r>
        <w:rPr>
          <w:rFonts w:ascii="Times New Roman" w:hAnsi="Times New Roman" w:cs="Times New Roman"/>
          <w:sz w:val="24"/>
          <w:szCs w:val="24"/>
          <w:lang w:val="en-US"/>
        </w:rPr>
        <w:t>S.A. „Drumuri Cahul”</w:t>
      </w:r>
    </w:p>
    <w:p w:rsidR="004E751A" w:rsidRPr="000904D2" w:rsidRDefault="004E751A" w:rsidP="004E751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04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I. </w:t>
      </w:r>
      <w:r w:rsidR="000904D2" w:rsidRPr="000904D2">
        <w:rPr>
          <w:rFonts w:ascii="Times New Roman" w:hAnsi="Times New Roman" w:cs="Times New Roman"/>
          <w:b/>
          <w:sz w:val="24"/>
          <w:szCs w:val="24"/>
          <w:lang w:val="en-US"/>
        </w:rPr>
        <w:t>Dispoziţii generale</w:t>
      </w:r>
    </w:p>
    <w:p w:rsidR="004E751A" w:rsidRPr="004E751A" w:rsidRDefault="004E751A" w:rsidP="004E75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1. Regulamentul cu privire la neadmiterea, denunţarea, tratarea și evidența influenţelor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necorespunzătoare în cadrul </w:t>
      </w:r>
      <w:r>
        <w:rPr>
          <w:rFonts w:ascii="Times New Roman" w:hAnsi="Times New Roman" w:cs="Times New Roman"/>
          <w:sz w:val="24"/>
          <w:szCs w:val="24"/>
          <w:lang w:val="en-US"/>
        </w:rPr>
        <w:t>S.A. „Drumuri Cahul”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(în continuare – Regulament) este elaborat în temeiul prevederilor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art.17 din Legea nr.82/2017 integrității, Hotărârii Guvernului nr.767/2014 pentru implementarea Legii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nr.325/2013 privind testarea integrităţii profesionale.</w:t>
      </w:r>
    </w:p>
    <w:p w:rsidR="004E751A" w:rsidRPr="004E751A" w:rsidRDefault="004E751A" w:rsidP="004E75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2. Prezentul Regulament stabileşte obligațiile </w:t>
      </w:r>
      <w:r>
        <w:rPr>
          <w:rFonts w:ascii="Times New Roman" w:hAnsi="Times New Roman" w:cs="Times New Roman"/>
          <w:sz w:val="24"/>
          <w:szCs w:val="24"/>
          <w:lang w:val="en-US"/>
        </w:rPr>
        <w:t>conducătorului S.A. „Drumuri Cahul”</w:t>
      </w:r>
      <w:r w:rsidR="002D46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și </w:t>
      </w:r>
      <w:r w:rsidR="002D4645">
        <w:rPr>
          <w:rFonts w:ascii="Times New Roman" w:hAnsi="Times New Roman" w:cs="Times New Roman"/>
          <w:sz w:val="24"/>
          <w:szCs w:val="24"/>
          <w:lang w:val="en-US"/>
        </w:rPr>
        <w:t>a tuturor colaboratorilor entității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pentru desfășurarea activității profesionale în afara</w:t>
      </w:r>
      <w:r w:rsidR="002D46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oricăror influenţe necorespunzătoare, procedura de comunicare şi evidenţă a influenţelor necorespunzătoare</w:t>
      </w:r>
      <w:r w:rsidR="002D46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exercitate asupra </w:t>
      </w:r>
      <w:r w:rsidR="002D4645">
        <w:rPr>
          <w:rFonts w:ascii="Times New Roman" w:hAnsi="Times New Roman" w:cs="Times New Roman"/>
          <w:sz w:val="24"/>
          <w:szCs w:val="24"/>
          <w:lang w:val="en-US"/>
        </w:rPr>
        <w:t>colegilor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, modul de completare şi gestionare a registrului pentru denunţarea</w:t>
      </w:r>
      <w:r w:rsidR="002D46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influenţelor necorespunzătoare.</w:t>
      </w:r>
    </w:p>
    <w:p w:rsidR="004E751A" w:rsidRPr="004E751A" w:rsidRDefault="004E751A" w:rsidP="002D46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3. Prezentul Regulament se aplică </w:t>
      </w:r>
      <w:r w:rsidR="002D4645">
        <w:rPr>
          <w:rFonts w:ascii="Times New Roman" w:hAnsi="Times New Roman" w:cs="Times New Roman"/>
          <w:sz w:val="24"/>
          <w:szCs w:val="24"/>
          <w:lang w:val="en-US"/>
        </w:rPr>
        <w:t>de către toți angajații entității S.A. „Drumuri Cahul”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E751A" w:rsidRPr="004E751A" w:rsidRDefault="004E751A" w:rsidP="002D46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4. În sensul prezentului Regulament, noţiunile utilizate au următoarele semnificaţii:</w:t>
      </w:r>
    </w:p>
    <w:p w:rsidR="004E751A" w:rsidRPr="004E751A" w:rsidRDefault="002D4645" w:rsidP="002D46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4645">
        <w:rPr>
          <w:rFonts w:ascii="Times New Roman" w:hAnsi="Times New Roman" w:cs="Times New Roman"/>
          <w:i/>
          <w:sz w:val="24"/>
          <w:szCs w:val="24"/>
          <w:lang w:val="en-US"/>
        </w:rPr>
        <w:t>angajat</w:t>
      </w:r>
      <w:r w:rsidR="004E751A"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– persoană angajată </w:t>
      </w:r>
      <w:r>
        <w:rPr>
          <w:rFonts w:ascii="Times New Roman" w:hAnsi="Times New Roman" w:cs="Times New Roman"/>
          <w:sz w:val="24"/>
          <w:szCs w:val="24"/>
          <w:lang w:val="en-US"/>
        </w:rPr>
        <w:t>în baza contractuluii</w:t>
      </w:r>
      <w:r w:rsidR="006A1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33FE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ndividual de muncă </w:t>
      </w:r>
      <w:r w:rsidR="004E751A"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în cadrul </w:t>
      </w:r>
      <w:r>
        <w:rPr>
          <w:rFonts w:ascii="Times New Roman" w:hAnsi="Times New Roman" w:cs="Times New Roman"/>
          <w:sz w:val="24"/>
          <w:szCs w:val="24"/>
          <w:lang w:val="en-US"/>
        </w:rPr>
        <w:t>S.A. „Drumuri Cahul”</w:t>
      </w:r>
      <w:r w:rsidR="004E751A" w:rsidRPr="004E75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751A" w:rsidRPr="004E751A" w:rsidRDefault="004E751A" w:rsidP="002D46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4645">
        <w:rPr>
          <w:rFonts w:ascii="Times New Roman" w:hAnsi="Times New Roman" w:cs="Times New Roman"/>
          <w:i/>
          <w:sz w:val="24"/>
          <w:szCs w:val="24"/>
          <w:lang w:val="en-US"/>
        </w:rPr>
        <w:t>denunţ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– înştiinţare întocmită în scris de către </w:t>
      </w:r>
      <w:r w:rsidR="002D4645">
        <w:rPr>
          <w:rFonts w:ascii="Times New Roman" w:hAnsi="Times New Roman" w:cs="Times New Roman"/>
          <w:sz w:val="24"/>
          <w:szCs w:val="24"/>
          <w:lang w:val="en-US"/>
        </w:rPr>
        <w:t>angajat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asupra căruia se exercită influenţa</w:t>
      </w:r>
      <w:r w:rsidR="002D46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necorespunzătoare, conţinând informaţiile prevăzute în pct.</w:t>
      </w:r>
      <w:r w:rsidR="00F533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11 din prezentul Regulament;</w:t>
      </w:r>
    </w:p>
    <w:p w:rsidR="004E751A" w:rsidRPr="004E751A" w:rsidRDefault="004E751A" w:rsidP="002D46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4645">
        <w:rPr>
          <w:rFonts w:ascii="Times New Roman" w:hAnsi="Times New Roman" w:cs="Times New Roman"/>
          <w:i/>
          <w:sz w:val="24"/>
          <w:szCs w:val="24"/>
          <w:lang w:val="en-US"/>
        </w:rPr>
        <w:t>influenţă necorespunzătoare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– imixtiune în activitatea profesională a </w:t>
      </w:r>
      <w:r w:rsidR="002D4645">
        <w:rPr>
          <w:rFonts w:ascii="Times New Roman" w:hAnsi="Times New Roman" w:cs="Times New Roman"/>
          <w:sz w:val="24"/>
          <w:szCs w:val="24"/>
          <w:lang w:val="en-US"/>
        </w:rPr>
        <w:t>angajatului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din partea</w:t>
      </w:r>
      <w:r w:rsidR="002D46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terţelor persoane, manifestată prin presiuni, ameninţări sau rugăminţi, în vederea determinării acestuia să</w:t>
      </w:r>
      <w:r w:rsidR="002D46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își desfăşoare activitatea profesională într-un mod anumit, atunci când imixtiunea dată este ilegală şi nu</w:t>
      </w:r>
      <w:r w:rsidR="002D46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este însoţită de promisiunea, oferirea sau darea, personal sau prin m</w:t>
      </w:r>
      <w:r w:rsidR="002D4645">
        <w:rPr>
          <w:rFonts w:ascii="Times New Roman" w:hAnsi="Times New Roman" w:cs="Times New Roman"/>
          <w:sz w:val="24"/>
          <w:szCs w:val="24"/>
          <w:lang w:val="en-US"/>
        </w:rPr>
        <w:t>ijlocitor, de bunuri, servicii, p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rivilegii</w:t>
      </w:r>
      <w:r w:rsidR="002D46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sau avantaje sub orice formă </w:t>
      </w:r>
      <w:r w:rsidR="002D4645">
        <w:rPr>
          <w:rFonts w:ascii="Times New Roman" w:hAnsi="Times New Roman" w:cs="Times New Roman"/>
          <w:sz w:val="24"/>
          <w:szCs w:val="24"/>
          <w:lang w:val="en-US"/>
        </w:rPr>
        <w:t>angajatului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, ce nu i se cuvin (nu întruneşte elementele unei infracţiuni);</w:t>
      </w:r>
    </w:p>
    <w:p w:rsidR="004E751A" w:rsidRPr="004E751A" w:rsidRDefault="004E751A" w:rsidP="002D46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4645">
        <w:rPr>
          <w:rFonts w:ascii="Times New Roman" w:hAnsi="Times New Roman" w:cs="Times New Roman"/>
          <w:i/>
          <w:sz w:val="24"/>
          <w:szCs w:val="24"/>
          <w:lang w:val="en-US"/>
        </w:rPr>
        <w:t>persoană desemnată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– persoană desemnată de către </w:t>
      </w:r>
      <w:r w:rsidR="002D4645">
        <w:rPr>
          <w:rFonts w:ascii="Times New Roman" w:hAnsi="Times New Roman" w:cs="Times New Roman"/>
          <w:sz w:val="24"/>
          <w:szCs w:val="24"/>
          <w:lang w:val="en-US"/>
        </w:rPr>
        <w:t>conducătorul S.A. „Drumuri Cahul”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în vederea</w:t>
      </w:r>
      <w:r w:rsidR="002D46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înregistrării cazurilor de influenţă necorespunzătoare denunţate şi asigurării confidenţialităţii acestora,</w:t>
      </w:r>
      <w:r w:rsidR="002D46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în</w:t>
      </w:r>
      <w:r w:rsidR="002D46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condiţiile prezentului Regulament;</w:t>
      </w:r>
    </w:p>
    <w:p w:rsidR="004E751A" w:rsidRDefault="004E751A" w:rsidP="002D46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4645">
        <w:rPr>
          <w:rFonts w:ascii="Times New Roman" w:hAnsi="Times New Roman" w:cs="Times New Roman"/>
          <w:i/>
          <w:sz w:val="24"/>
          <w:szCs w:val="24"/>
          <w:lang w:val="en-US"/>
        </w:rPr>
        <w:t>instituţie care realizează testarea integrităţii profesionale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– instituţia care efectuează testarea</w:t>
      </w:r>
      <w:r w:rsidR="002D46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integrităţii profesionale în privinţa </w:t>
      </w:r>
      <w:r w:rsidR="002D4645">
        <w:rPr>
          <w:rFonts w:ascii="Times New Roman" w:hAnsi="Times New Roman" w:cs="Times New Roman"/>
          <w:sz w:val="24"/>
          <w:szCs w:val="24"/>
          <w:lang w:val="en-US"/>
        </w:rPr>
        <w:t>angajaților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din cadrul entităţii publice (Centrul Național</w:t>
      </w:r>
      <w:r w:rsidR="002D46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Anticorupție și Serviciul de Inforrmații și Securitate), în conformitate cu prevederile art.10 alin.</w:t>
      </w:r>
      <w:r w:rsidR="002D46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(1) din</w:t>
      </w:r>
      <w:r w:rsidR="002D46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Legea nr.</w:t>
      </w:r>
      <w:r w:rsidR="002D46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325 din 23 decembrie 2013 privind testarea integrităţii profesionale.</w:t>
      </w:r>
    </w:p>
    <w:p w:rsidR="000904D2" w:rsidRDefault="000904D2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E751A" w:rsidRPr="004E751A" w:rsidRDefault="004E751A" w:rsidP="000904D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904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 </w:t>
      </w:r>
      <w:r w:rsidR="000904D2" w:rsidRPr="000904D2">
        <w:rPr>
          <w:rFonts w:ascii="Times New Roman" w:hAnsi="Times New Roman" w:cs="Times New Roman"/>
          <w:b/>
          <w:sz w:val="24"/>
          <w:szCs w:val="24"/>
          <w:lang w:val="en-US"/>
        </w:rPr>
        <w:t>Obligațiile directorului S.A. „Drumuri</w:t>
      </w:r>
      <w:r w:rsidR="000904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904D2" w:rsidRPr="000904D2">
        <w:rPr>
          <w:rFonts w:ascii="Times New Roman" w:hAnsi="Times New Roman" w:cs="Times New Roman"/>
          <w:b/>
          <w:sz w:val="24"/>
          <w:szCs w:val="24"/>
          <w:lang w:val="en-US"/>
        </w:rPr>
        <w:t>Cahul” și ale angajatului</w:t>
      </w:r>
    </w:p>
    <w:p w:rsidR="004E751A" w:rsidRPr="004E751A" w:rsidRDefault="004E751A" w:rsidP="000904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lastRenderedPageBreak/>
        <w:t>5. În vederea asigurării servirii interesului public cu imparţialitate şi obiectivitate, activitatea</w:t>
      </w:r>
      <w:r w:rsidR="00090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profesională a </w:t>
      </w:r>
      <w:r w:rsidR="000904D2">
        <w:rPr>
          <w:rFonts w:ascii="Times New Roman" w:hAnsi="Times New Roman" w:cs="Times New Roman"/>
          <w:sz w:val="24"/>
          <w:szCs w:val="24"/>
          <w:lang w:val="en-US"/>
        </w:rPr>
        <w:t>angajatului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trebuie să se desfăşoare în afara oricăror influenţe necorespunzătoare.</w:t>
      </w:r>
    </w:p>
    <w:p w:rsidR="004E751A" w:rsidRPr="004E751A" w:rsidRDefault="004E751A" w:rsidP="000904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6. Directorul </w:t>
      </w:r>
      <w:r w:rsidR="000904D2">
        <w:rPr>
          <w:rFonts w:ascii="Times New Roman" w:hAnsi="Times New Roman" w:cs="Times New Roman"/>
          <w:sz w:val="24"/>
          <w:szCs w:val="24"/>
          <w:lang w:val="en-US"/>
        </w:rPr>
        <w:t>S.A. „Drumuri Cahul”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este obligat:</w:t>
      </w:r>
    </w:p>
    <w:p w:rsidR="004E751A" w:rsidRPr="004E751A" w:rsidRDefault="004E751A" w:rsidP="000904D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1) să adopte actele administrative de stabilire a regulilor de organizare a activităţilor de denunţare şi</w:t>
      </w:r>
      <w:r w:rsidR="00090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tratare a influenţelor necorespunzătoare de către </w:t>
      </w:r>
      <w:r w:rsidR="000904D2">
        <w:rPr>
          <w:rFonts w:ascii="Times New Roman" w:hAnsi="Times New Roman" w:cs="Times New Roman"/>
          <w:sz w:val="24"/>
          <w:szCs w:val="24"/>
          <w:lang w:val="en-US"/>
        </w:rPr>
        <w:t>angajați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751A" w:rsidRPr="004E751A" w:rsidRDefault="004E751A" w:rsidP="000904D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2) să desemneze persoana pentru evidenţa influenţelor necorespunzătoare sau să-şi asume personal</w:t>
      </w:r>
    </w:p>
    <w:p w:rsidR="004E751A" w:rsidRPr="004E751A" w:rsidRDefault="004E751A" w:rsidP="000904D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această atribuţie;</w:t>
      </w:r>
    </w:p>
    <w:p w:rsidR="004E751A" w:rsidRPr="004E751A" w:rsidRDefault="004E751A" w:rsidP="000904D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3) să asigure evidența denunțurilor în registrul de evidență a cazurilor de influenţă necorespunzătoare</w:t>
      </w:r>
      <w:r w:rsidR="00090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exercitată asupra </w:t>
      </w:r>
      <w:r w:rsidR="000904D2">
        <w:rPr>
          <w:rFonts w:ascii="Times New Roman" w:hAnsi="Times New Roman" w:cs="Times New Roman"/>
          <w:sz w:val="24"/>
          <w:szCs w:val="24"/>
          <w:lang w:val="en-US"/>
        </w:rPr>
        <w:t>angajaților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751A" w:rsidRPr="004E751A" w:rsidRDefault="004E751A" w:rsidP="000904D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4) să asigure posibilitatea denunțării în condiţii de confidenţialitate a cazurilor de influenţă</w:t>
      </w:r>
      <w:r w:rsidR="00090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necorespunzătoare, precum și să asigure confidenţialitatea denunţurilor făcute şi a registrului de evidenţă a</w:t>
      </w:r>
      <w:r w:rsidR="00090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cazurilor de influenţă necorespunzătoare, cu excepţiile strict reglementate de prezentul Regulament;</w:t>
      </w:r>
    </w:p>
    <w:p w:rsidR="004E751A" w:rsidRPr="004E751A" w:rsidRDefault="004E751A" w:rsidP="000904D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5) să asigure condiţiile necesare pentru desfăşurarea în mod legal a activităţii de către </w:t>
      </w:r>
      <w:r w:rsidR="000904D2">
        <w:rPr>
          <w:rFonts w:ascii="Times New Roman" w:hAnsi="Times New Roman" w:cs="Times New Roman"/>
          <w:sz w:val="24"/>
          <w:szCs w:val="24"/>
          <w:lang w:val="en-US"/>
        </w:rPr>
        <w:t xml:space="preserve">angajat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şi să verifice modul de executare a atribuţiilor pentru care a survenit influenţa necorespunzătoare;</w:t>
      </w:r>
    </w:p>
    <w:p w:rsidR="004E751A" w:rsidRPr="004E751A" w:rsidRDefault="004E751A" w:rsidP="000904D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6) să întreprindă măsuri de prevenire a cazurilor de influenţă necorespunzătoare prin implicarea</w:t>
      </w:r>
      <w:r w:rsidR="00090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nemijlocită în soluţionarea acestora (de exemplu, atenţionarea prin intermediul expedierii sesizărilor</w:t>
      </w:r>
      <w:r w:rsidR="000904D2">
        <w:rPr>
          <w:rFonts w:ascii="Times New Roman" w:hAnsi="Times New Roman" w:cs="Times New Roman"/>
          <w:sz w:val="24"/>
          <w:szCs w:val="24"/>
          <w:lang w:val="en-US"/>
        </w:rPr>
        <w:t xml:space="preserve"> oficiale,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descurajarea persoanei care generează influenţă necorespunzătoare, inclusiv prin atenţionarea</w:t>
      </w:r>
      <w:r w:rsidR="00090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conducătorului ierarhic superior al acesteia, identificarea altor măsuri legale);</w:t>
      </w:r>
    </w:p>
    <w:p w:rsidR="004E751A" w:rsidRPr="004E751A" w:rsidRDefault="004E751A" w:rsidP="000904D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7) să tragă la răspundere disciplinară </w:t>
      </w:r>
      <w:r w:rsidR="000904D2">
        <w:rPr>
          <w:rFonts w:ascii="Times New Roman" w:hAnsi="Times New Roman" w:cs="Times New Roman"/>
          <w:sz w:val="24"/>
          <w:szCs w:val="24"/>
          <w:lang w:val="en-US"/>
        </w:rPr>
        <w:t>angajații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care îşi desfăşoară activitatea profesională fără a</w:t>
      </w:r>
      <w:r w:rsidR="00090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respinge influenţele necorespunzătoare la care sînt supuşi sau fără a denunţa influenţele necorespunzătoare</w:t>
      </w:r>
      <w:r w:rsidR="00090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pe care nu le pot respinge de sine stătător;</w:t>
      </w:r>
    </w:p>
    <w:p w:rsidR="004E751A" w:rsidRPr="004E751A" w:rsidRDefault="004E751A" w:rsidP="000904D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8) să asigure accesul instituţiei care realizează testarea integrităţii profesionale în privinţa </w:t>
      </w:r>
      <w:r w:rsidR="000904D2">
        <w:rPr>
          <w:rFonts w:ascii="Times New Roman" w:hAnsi="Times New Roman" w:cs="Times New Roman"/>
          <w:sz w:val="24"/>
          <w:szCs w:val="24"/>
          <w:lang w:val="en-US"/>
        </w:rPr>
        <w:t xml:space="preserve">angajaților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din cadrul </w:t>
      </w:r>
      <w:r w:rsidR="000904D2">
        <w:rPr>
          <w:rFonts w:ascii="Times New Roman" w:hAnsi="Times New Roman" w:cs="Times New Roman"/>
          <w:sz w:val="24"/>
          <w:szCs w:val="24"/>
          <w:lang w:val="en-US"/>
        </w:rPr>
        <w:t>S.A. „Drumuri Cahul”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la registrul de evidenţă a cazurilor de influenţă necorespunzătoare</w:t>
      </w:r>
      <w:r w:rsidR="00090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şi/sau la copiile scanate de pe registrul dat, inclusiv prin transmiterea în format electronic.</w:t>
      </w:r>
    </w:p>
    <w:p w:rsidR="004E751A" w:rsidRPr="004E751A" w:rsidRDefault="004E751A" w:rsidP="000904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="000904D2">
        <w:rPr>
          <w:rFonts w:ascii="Times New Roman" w:hAnsi="Times New Roman" w:cs="Times New Roman"/>
          <w:sz w:val="24"/>
          <w:szCs w:val="24"/>
          <w:lang w:val="en-US"/>
        </w:rPr>
        <w:t>Angajatul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supus influenţei necorespunzătoare este obligat:</w:t>
      </w:r>
    </w:p>
    <w:p w:rsidR="004E751A" w:rsidRPr="004E751A" w:rsidRDefault="004E751A" w:rsidP="000904D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1) să respingă expres influenţa necorespunzătoare;</w:t>
      </w:r>
    </w:p>
    <w:p w:rsidR="004E751A" w:rsidRPr="004E751A" w:rsidRDefault="004E751A" w:rsidP="000904D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2) să desfăşoare în mod legal activitatea pentru care a intervenit influenţa necorespunzătoare;</w:t>
      </w:r>
    </w:p>
    <w:p w:rsidR="004E751A" w:rsidRPr="004E751A" w:rsidRDefault="004E751A" w:rsidP="000904D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3) în cazul imposibilităţii de a respinge expres influenţa necorespunzătoare şi al afectării activităţii sale</w:t>
      </w:r>
      <w:r w:rsidR="00090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profesionale drept urmare a acesteia, să depună un denunţ scris despre exercitarea influenţei</w:t>
      </w:r>
      <w:r w:rsidR="00090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necorespunzătoare, în modul prevăzut la pct.</w:t>
      </w:r>
      <w:r w:rsidR="00090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10-11 din prezentul Regulament;</w:t>
      </w:r>
    </w:p>
    <w:p w:rsidR="004E751A" w:rsidRPr="004E751A" w:rsidRDefault="004E751A" w:rsidP="000904D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4) să depună un denunţ despre exercitarea influenţei necorespunzătoare la Centrul Naţional</w:t>
      </w:r>
      <w:r w:rsidR="00090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Anticorupţie (CNA) dacă sursa influenţei necorespunzătoare este directorul </w:t>
      </w:r>
      <w:r w:rsidR="000904D2">
        <w:rPr>
          <w:rFonts w:ascii="Times New Roman" w:hAnsi="Times New Roman" w:cs="Times New Roman"/>
          <w:sz w:val="24"/>
          <w:szCs w:val="24"/>
          <w:lang w:val="en-US"/>
        </w:rPr>
        <w:t>S.A. „Drumuri Cahul”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sau dacă,</w:t>
      </w:r>
      <w:r w:rsidR="00090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după ce a depus un denunţ în modul prevăzut la pct.</w:t>
      </w:r>
      <w:r w:rsidR="00090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10-11 din prezentul Regulament, directorul nu-şi</w:t>
      </w:r>
      <w:r w:rsidR="00090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onorează obligaţiile prevăzute la pct.</w:t>
      </w:r>
      <w:r w:rsidR="00090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5 și 6 din prezentul Regulament.</w:t>
      </w:r>
    </w:p>
    <w:p w:rsidR="004E751A" w:rsidRPr="004E751A" w:rsidRDefault="004E751A" w:rsidP="000904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8. </w:t>
      </w:r>
      <w:r w:rsidR="000904D2">
        <w:rPr>
          <w:rFonts w:ascii="Times New Roman" w:hAnsi="Times New Roman" w:cs="Times New Roman"/>
          <w:sz w:val="24"/>
          <w:szCs w:val="24"/>
          <w:lang w:val="en-US"/>
        </w:rPr>
        <w:t>Angajatul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supus influenţelor necorespunzătoare poate să se asigure cu martori, inclusiv dintre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colegii de serviciu sau, după caz, cu alte dovezi.</w:t>
      </w:r>
    </w:p>
    <w:p w:rsidR="003D5E6C" w:rsidRDefault="003D5E6C" w:rsidP="003D5E6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E751A" w:rsidRPr="003D5E6C" w:rsidRDefault="004E751A" w:rsidP="003D5E6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5E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III. </w:t>
      </w:r>
      <w:r w:rsidR="003D5E6C" w:rsidRPr="003D5E6C">
        <w:rPr>
          <w:rFonts w:ascii="Times New Roman" w:hAnsi="Times New Roman" w:cs="Times New Roman"/>
          <w:b/>
          <w:sz w:val="24"/>
          <w:szCs w:val="24"/>
          <w:lang w:val="en-US"/>
        </w:rPr>
        <w:t>Procedura de comunicare a influenţelor necorespunzătoare</w:t>
      </w:r>
    </w:p>
    <w:p w:rsidR="004E751A" w:rsidRPr="004E751A" w:rsidRDefault="004E751A" w:rsidP="003D5E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9. Dacă persoana desemnată refuză să înregistreze denunţul în condiţiile prevăzute la pct.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6 subpct.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2)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din prezentul Regulament, 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>angajatul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se adresează direct directorului 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>S.A. „Drumuri Cahul”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sau, după caz,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Centrului Naţional Anticorupţie (în continuare – CNA), care va asigura înregistrarea influenţei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necorespunzătoare în registrul special şi va sesiza directorul 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>S.A. „Drumuri Cahul”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pentru întreprinderea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măsurilor de tragere la răspundere disciplinară a persoanei care a refuzat înregistrarea denunţului, potrivit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pct.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21 din prezentul Regulament. În cazul în care directorul 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>S.A. „Drumuri Cahul”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nu întreprinde măsurile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prevăzute la pct.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6 subpct.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5) din prezentul Regulament, 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>angajatul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se adresează CNA.</w:t>
      </w:r>
    </w:p>
    <w:p w:rsidR="004E751A" w:rsidRPr="004E751A" w:rsidRDefault="004E751A" w:rsidP="003D5E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10. Comunicarea influenţei necorespunzătoare se face neîntîrziat, dar cel tîrziu în decurs de trei zile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lucrătoare, sub forma unui denunţ scris, depus pe numele conducătorului entităţii la subdiviziunea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specializată sau, după caz, la instituţia care realizează testarea integrităţii pro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>fesionale, în condiţiile pct.11-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14 din prezentul Regulament. Termenul de trei zile începe să curgă din ziua exercitării influenţei</w:t>
      </w:r>
    </w:p>
    <w:p w:rsidR="004E751A" w:rsidRPr="004E751A" w:rsidRDefault="004E751A" w:rsidP="003D5E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necorespunzătoare. În cazul aflării 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>angajatului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în imposibilitate obiectivă de a depune denunţul în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termenul prevăzut, acesta urmează a fi depus în ziua imediat următoare după încetarea motivelor date, cu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anexarea dovezilor care le confirmă. Nu se consideră motiv de imposibilitate obiectivă de a depune denunţul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în termenul prevăzut, dacă 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>angajatul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se află în exerciţiul funcţiei la locul de muncă în perioada de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curgere a acestui termen.</w:t>
      </w:r>
    </w:p>
    <w:p w:rsidR="004E751A" w:rsidRPr="004E751A" w:rsidRDefault="004E751A" w:rsidP="003D5E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11. În denunţ, 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>angajatul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supus influenţei necorespunzătoare menţionează în mod obligatoriu:</w:t>
      </w:r>
    </w:p>
    <w:p w:rsidR="004E751A" w:rsidRPr="004E751A" w:rsidRDefault="004E751A" w:rsidP="003D5E6C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1) numele şi prenumele său, funcţia şi subdiviziunea în care activează;</w:t>
      </w:r>
    </w:p>
    <w:p w:rsidR="004E751A" w:rsidRPr="004E751A" w:rsidRDefault="004E751A" w:rsidP="003D5E6C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2) datele de identificare ale persoanei care a încercat să îl influenţeze (dacă îi sunt cunoscute);</w:t>
      </w:r>
    </w:p>
    <w:p w:rsidR="004E751A" w:rsidRPr="004E751A" w:rsidRDefault="004E751A" w:rsidP="003D5E6C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3) descrierea influenţei necorespunzătoare, data şi ora la care aceasta a avut loc;</w:t>
      </w:r>
    </w:p>
    <w:p w:rsidR="004E751A" w:rsidRPr="004E751A" w:rsidRDefault="004E751A" w:rsidP="003D5E6C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4) datele de identificare ale persoanelor care posedă informaţii cu privire la împrejurările în care a avut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loc influenţa necorespunzătoare (dacă astfel de persoane există şi dacă datele menţionate îi sunt</w:t>
      </w:r>
    </w:p>
    <w:p w:rsidR="004E751A" w:rsidRPr="004E751A" w:rsidRDefault="004E751A" w:rsidP="003D5E6C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cunoscute).</w:t>
      </w:r>
    </w:p>
    <w:p w:rsidR="003D5E6C" w:rsidRDefault="004E751A" w:rsidP="003D5E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12. Despre influenţa necorespunzătoare exercitată asupra directorului 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>S.A. „Drumuri Cahul”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sau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exercitată de către directorul 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>S.A. „Drumuri Cahul”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, de către un 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>angajat</w:t>
      </w:r>
      <w:r w:rsidR="00477414">
        <w:rPr>
          <w:rFonts w:ascii="Times New Roman" w:hAnsi="Times New Roman" w:cs="Times New Roman"/>
          <w:sz w:val="24"/>
          <w:szCs w:val="24"/>
          <w:lang w:val="en-US"/>
        </w:rPr>
        <w:t>, agent public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din cadrul 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>altor instituții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>angajatul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comunică Centrului Național Anticorupție (CNA) prin una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dintre următoarele modalităţi: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E751A" w:rsidRPr="004E751A" w:rsidRDefault="004E751A" w:rsidP="00BA09E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1) denunţul scris, expediat pe adresa CNA, inclusiv prin poşta electronică indicată pe pagina web</w:t>
      </w:r>
      <w:r w:rsidR="00BA09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oficială a CNA;</w:t>
      </w:r>
    </w:p>
    <w:p w:rsidR="004E751A" w:rsidRPr="004E751A" w:rsidRDefault="004E751A" w:rsidP="00BA09E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lastRenderedPageBreak/>
        <w:t>2) completarea formularului on</w:t>
      </w:r>
      <w:r w:rsidR="00BA09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line de comunicare a influenţelor necorespunzătoare de pe pagina</w:t>
      </w:r>
      <w:r w:rsidR="00BA09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BA09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oficială a CNA, direct de către </w:t>
      </w:r>
      <w:r w:rsidR="00BA09E2">
        <w:rPr>
          <w:rFonts w:ascii="Times New Roman" w:hAnsi="Times New Roman" w:cs="Times New Roman"/>
          <w:sz w:val="24"/>
          <w:szCs w:val="24"/>
          <w:lang w:val="en-US"/>
        </w:rPr>
        <w:t>angajat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sau prin intermediul operatorului liniei naţionale</w:t>
      </w:r>
      <w:r w:rsidR="00BA09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anticorupţie din cadrul CNA, cu condiţia comunicării de către agentul public a tuturor informaţiilor</w:t>
      </w:r>
    </w:p>
    <w:p w:rsidR="004E751A" w:rsidRPr="004E751A" w:rsidRDefault="004E751A" w:rsidP="00BA09E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necesare pentru completarea formularului.</w:t>
      </w:r>
    </w:p>
    <w:p w:rsidR="004E751A" w:rsidRPr="004E751A" w:rsidRDefault="004E751A" w:rsidP="003D5E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13. Directorul 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>S.A. „</w:t>
      </w:r>
      <w:r w:rsidR="00477414">
        <w:rPr>
          <w:rFonts w:ascii="Times New Roman" w:hAnsi="Times New Roman" w:cs="Times New Roman"/>
          <w:sz w:val="24"/>
          <w:szCs w:val="24"/>
          <w:lang w:val="en-US"/>
        </w:rPr>
        <w:t>Drumuri Cahul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, persoana desemnată asigură respectarea confidenţialităţii</w:t>
      </w:r>
      <w:r w:rsidR="00477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informaţiilor, transmise de către </w:t>
      </w:r>
      <w:r w:rsidR="00477414">
        <w:rPr>
          <w:rFonts w:ascii="Times New Roman" w:hAnsi="Times New Roman" w:cs="Times New Roman"/>
          <w:sz w:val="24"/>
          <w:szCs w:val="24"/>
          <w:lang w:val="en-US"/>
        </w:rPr>
        <w:t>angajat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care au depus denunţuri, în conformitate cu prevederile</w:t>
      </w:r>
      <w:r w:rsidR="00486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pct.</w:t>
      </w:r>
      <w:r w:rsidR="00486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19 din prezentul Regulament, cu excepţia cazurilor în care respectivii agenţi publici optează pentru</w:t>
      </w:r>
      <w:r w:rsidR="00486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dezvăluirea celor invocate în denunţ (în surse mass-media, către alte instituţii, persoane, inclusiv cele vizate</w:t>
      </w:r>
      <w:r w:rsidR="00486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în denunţ).</w:t>
      </w:r>
    </w:p>
    <w:p w:rsidR="004E751A" w:rsidRPr="004E751A" w:rsidRDefault="004E751A" w:rsidP="003D5E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14. Dacă denunţul conţine informaţii care denotă existenţa elementelor constitutive ale unei</w:t>
      </w:r>
      <w:r w:rsidR="00486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infracţiuni, directorul 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>S.A. „</w:t>
      </w:r>
      <w:r w:rsidR="0048675B">
        <w:rPr>
          <w:rFonts w:ascii="Times New Roman" w:hAnsi="Times New Roman" w:cs="Times New Roman"/>
          <w:sz w:val="24"/>
          <w:szCs w:val="24"/>
          <w:lang w:val="en-US"/>
        </w:rPr>
        <w:t>Drumuri Cahul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îl transmite neîntârziat, dar nu mai târziu de trei zile lucrătoare,</w:t>
      </w:r>
      <w:r w:rsidR="00486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organului de urmărire penală, conform competenţelor stabilite de Codul de procedură penală.</w:t>
      </w:r>
    </w:p>
    <w:p w:rsidR="0048675B" w:rsidRDefault="0048675B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E751A" w:rsidRPr="0048675B" w:rsidRDefault="0048675B" w:rsidP="0048675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8675B">
        <w:rPr>
          <w:rFonts w:ascii="Times New Roman" w:hAnsi="Times New Roman" w:cs="Times New Roman"/>
          <w:b/>
          <w:sz w:val="24"/>
          <w:szCs w:val="24"/>
          <w:lang w:val="en-US"/>
        </w:rPr>
        <w:t>IV. Gestionarea registrului de evidenţă a cazurilor de influenţă necorespunzătoare</w:t>
      </w:r>
    </w:p>
    <w:p w:rsidR="004E751A" w:rsidRPr="004E751A" w:rsidRDefault="004E751A" w:rsidP="00486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6612">
        <w:rPr>
          <w:rFonts w:ascii="Times New Roman" w:hAnsi="Times New Roman" w:cs="Times New Roman"/>
          <w:sz w:val="24"/>
          <w:szCs w:val="24"/>
          <w:lang w:val="en-US"/>
        </w:rPr>
        <w:t>15. Comunicarea influenţei necorespunzătoare este înscrisă de către persoana desemnată într-un</w:t>
      </w:r>
      <w:r w:rsidR="005E66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612">
        <w:rPr>
          <w:rFonts w:ascii="Times New Roman" w:hAnsi="Times New Roman" w:cs="Times New Roman"/>
          <w:sz w:val="24"/>
          <w:szCs w:val="24"/>
          <w:lang w:val="en-US"/>
        </w:rPr>
        <w:t>registru de evidenţă a cazurilor de influenţă necorespunzătoare, ţinut pe suport de hîrtie şi în format</w:t>
      </w:r>
      <w:r w:rsidR="005E66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612">
        <w:rPr>
          <w:rFonts w:ascii="Times New Roman" w:hAnsi="Times New Roman" w:cs="Times New Roman"/>
          <w:sz w:val="24"/>
          <w:szCs w:val="24"/>
          <w:lang w:val="en-US"/>
        </w:rPr>
        <w:t xml:space="preserve">electronic, potrivit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anexei nr.1 la prezentul Regulament, în conformitate cu prevederile Legii cu privire la</w:t>
      </w:r>
      <w:r w:rsidR="005E66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registre, pe care se aplică menţiunea „Informaţii cu accesibilitate limitată”.</w:t>
      </w:r>
    </w:p>
    <w:p w:rsidR="004E751A" w:rsidRPr="004E751A" w:rsidRDefault="004E751A" w:rsidP="00486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16. După recepţionarea denunţului despre influenţa necorespunzătoare, persoana desemnată aplică pe</w:t>
      </w:r>
    </w:p>
    <w:p w:rsidR="004E751A" w:rsidRPr="004E751A" w:rsidRDefault="004E751A" w:rsidP="00486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acesta menţiunea „Informaţii cu accesibilitate limitată” şi îl transmite directorului 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>S.A. „</w:t>
      </w:r>
      <w:r w:rsidR="005E6612">
        <w:rPr>
          <w:rFonts w:ascii="Times New Roman" w:hAnsi="Times New Roman" w:cs="Times New Roman"/>
          <w:sz w:val="24"/>
          <w:szCs w:val="24"/>
          <w:lang w:val="en-US"/>
        </w:rPr>
        <w:t>Drumuri Cahul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cel</w:t>
      </w:r>
      <w:r w:rsidR="005E66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târziu în ziua lucrătoare următoare celei în care a fost recepţionat. Agentul public care a depus denunţul</w:t>
      </w:r>
      <w:r w:rsidR="005E66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primeşte de la persoana desemnată un cotor, care confirmă dovada depunerii denunţului.</w:t>
      </w:r>
    </w:p>
    <w:p w:rsidR="004E751A" w:rsidRPr="004E751A" w:rsidRDefault="004E751A" w:rsidP="00486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17. La registrul de evidenţă a cazurilor de influenţă necorespunzătoare din cadrul 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>S.A. „</w:t>
      </w:r>
      <w:r w:rsidR="005E6612">
        <w:rPr>
          <w:rFonts w:ascii="Times New Roman" w:hAnsi="Times New Roman" w:cs="Times New Roman"/>
          <w:sz w:val="24"/>
          <w:szCs w:val="24"/>
          <w:lang w:val="en-US"/>
        </w:rPr>
        <w:t>Drumuri Cahul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5E66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au acces directorul 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>S.A. „</w:t>
      </w:r>
      <w:r w:rsidR="005E6612">
        <w:rPr>
          <w:rFonts w:ascii="Times New Roman" w:hAnsi="Times New Roman" w:cs="Times New Roman"/>
          <w:sz w:val="24"/>
          <w:szCs w:val="24"/>
          <w:lang w:val="en-US"/>
        </w:rPr>
        <w:t>Drumuri Cahul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şi persoanele din cadrul instituţiilor care realizează testarea</w:t>
      </w:r>
      <w:r w:rsidR="005E66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integrităţii profesionale, împuternicite în acest sens. Accesul altor persoane la registru este strict interzis.</w:t>
      </w:r>
    </w:p>
    <w:p w:rsidR="004E751A" w:rsidRPr="004E751A" w:rsidRDefault="004E751A" w:rsidP="00486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18. Persoana desemnată este obligată să ţină evidenţa tuturor cazurilor de realizare a dreptului de acces</w:t>
      </w:r>
      <w:r w:rsidR="005E66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la informaţiile ţinute în registru, inclusiv a justificărilor ce întemeiază realizarea acestui drept, prin</w:t>
      </w:r>
      <w:r w:rsidR="005E66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intermediul unui borderou de forma prevăzută în anexa nr.</w:t>
      </w:r>
      <w:r w:rsidR="005E66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2 la prezentul Regulament, ataşat la registru.</w:t>
      </w:r>
    </w:p>
    <w:p w:rsidR="004E751A" w:rsidRPr="004E751A" w:rsidRDefault="004E751A" w:rsidP="00486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19. Înscrierile făcute în registrul de evidenţă a cazurilor de influenţă necorespunzătoare şi conţinutul</w:t>
      </w:r>
      <w:r w:rsidR="005E66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denunţurilor constituie informaţii oficiale cu accesibilitate limitată, atribuite la informaţii confidenţiale</w:t>
      </w:r>
      <w:r w:rsidR="005E66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despre persoane, în sensul Legii privind accesul la informaţii. Persoanelor interesate în obţinerea</w:t>
      </w:r>
      <w:r w:rsidR="005E66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informaţiilor reglementate de prezentul Regulament, în condiţiile legii sus-menţionate, li se comunică</w:t>
      </w:r>
    </w:p>
    <w:p w:rsidR="004E751A" w:rsidRDefault="004E751A" w:rsidP="00486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exclusiv date de ordin statistic.</w:t>
      </w:r>
    </w:p>
    <w:p w:rsidR="005E6612" w:rsidRPr="004E751A" w:rsidRDefault="005E6612" w:rsidP="00486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751A" w:rsidRPr="005E6612" w:rsidRDefault="004E751A" w:rsidP="005E66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66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V. </w:t>
      </w:r>
      <w:r w:rsidR="005E6612" w:rsidRPr="005E6612">
        <w:rPr>
          <w:rFonts w:ascii="Times New Roman" w:hAnsi="Times New Roman" w:cs="Times New Roman"/>
          <w:b/>
          <w:sz w:val="24"/>
          <w:szCs w:val="24"/>
          <w:lang w:val="en-US"/>
        </w:rPr>
        <w:t>Răspunderea</w:t>
      </w:r>
    </w:p>
    <w:p w:rsidR="004E751A" w:rsidRPr="004E751A" w:rsidRDefault="004E751A" w:rsidP="005E66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20. Neinformarea de către agentul public a directorului 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>S.A. „</w:t>
      </w:r>
      <w:r w:rsidR="005E6612">
        <w:rPr>
          <w:rFonts w:ascii="Times New Roman" w:hAnsi="Times New Roman" w:cs="Times New Roman"/>
          <w:sz w:val="24"/>
          <w:szCs w:val="24"/>
          <w:lang w:val="en-US"/>
        </w:rPr>
        <w:t>Drumuri Cahul</w:t>
      </w:r>
      <w:r w:rsidR="003D5E6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 sau, după caz, CNA despre</w:t>
      </w:r>
      <w:r w:rsidR="005E66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tentativa de a fi influenţat, în conformitate cu pct.9-15 din prezentul Regulament, constituie</w:t>
      </w:r>
      <w:r w:rsidR="005E66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încălcarea</w:t>
      </w:r>
      <w:r w:rsidR="005E66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 xml:space="preserve">obligaţiilor stabilite la art.6 </w:t>
      </w:r>
      <w:proofErr w:type="gramStart"/>
      <w:r w:rsidRPr="004E751A">
        <w:rPr>
          <w:rFonts w:ascii="Times New Roman" w:hAnsi="Times New Roman" w:cs="Times New Roman"/>
          <w:sz w:val="24"/>
          <w:szCs w:val="24"/>
          <w:lang w:val="en-US"/>
        </w:rPr>
        <w:t>alin.(</w:t>
      </w:r>
      <w:proofErr w:type="gramEnd"/>
      <w:r w:rsidRPr="004E751A">
        <w:rPr>
          <w:rFonts w:ascii="Times New Roman" w:hAnsi="Times New Roman" w:cs="Times New Roman"/>
          <w:sz w:val="24"/>
          <w:szCs w:val="24"/>
          <w:lang w:val="en-US"/>
        </w:rPr>
        <w:t>2) lit. c) din Legea nr.325 din 23 decembrie 2013 privind</w:t>
      </w:r>
      <w:r w:rsidR="005E66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testarea</w:t>
      </w:r>
      <w:r w:rsidR="005E66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integrităţii profesionale.</w:t>
      </w:r>
    </w:p>
    <w:p w:rsidR="004E751A" w:rsidRPr="004E751A" w:rsidRDefault="004E751A" w:rsidP="005E66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21. Refuzul recepţionării denunţului de către persoana responsabilă din cadrul subdiviziunii</w:t>
      </w:r>
      <w:r w:rsidR="005E66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specializate sau refuzul înregistrării denunţului în registru atrage răspunderea disciplinară conform</w:t>
      </w:r>
      <w:r w:rsidR="00D310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procedurilor stabilite categoriei de personal din care face parte.</w:t>
      </w:r>
    </w:p>
    <w:p w:rsidR="004E751A" w:rsidRPr="004E751A" w:rsidRDefault="004E751A" w:rsidP="005E66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22. Nerespectarea obligaţiei de asigurare a confidenţialităţii informaţiilor recepţionate, potrivit pct.</w:t>
      </w:r>
      <w:r w:rsidR="00D310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D310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din prezentul Regulament, constituie încălcarea disciplinei de serviciu şi atrage aplicarea sancţiunii</w:t>
      </w:r>
      <w:r w:rsidR="00D310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disciplinare corespunzătoare.</w:t>
      </w:r>
    </w:p>
    <w:p w:rsidR="004E751A" w:rsidRDefault="004E751A" w:rsidP="005E66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23. Operaţiunile de prelucrare a datelor cu caracter personal care vizează agenţii publici şi persoanele</w:t>
      </w:r>
      <w:r w:rsidR="00D310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terţe, efectuate cu încălcarea prevederilor legislaţiei privind protecţia datelor cu caracter personal,</w:t>
      </w:r>
      <w:r w:rsidR="00D310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atrage</w:t>
      </w:r>
      <w:r w:rsidR="00D310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răspunderea civilă, contravenţională sau penală, după caz.</w:t>
      </w:r>
    </w:p>
    <w:p w:rsidR="00D31012" w:rsidRPr="004E751A" w:rsidRDefault="00D31012" w:rsidP="005E66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751A" w:rsidRPr="00D31012" w:rsidRDefault="004E751A" w:rsidP="00D310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10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VI. </w:t>
      </w:r>
      <w:r w:rsidR="00D31012" w:rsidRPr="00D31012">
        <w:rPr>
          <w:rFonts w:ascii="Times New Roman" w:hAnsi="Times New Roman" w:cs="Times New Roman"/>
          <w:b/>
          <w:sz w:val="24"/>
          <w:szCs w:val="24"/>
          <w:lang w:val="en-US"/>
        </w:rPr>
        <w:t>Arhivarea. Termenele de păstrare</w:t>
      </w:r>
    </w:p>
    <w:p w:rsidR="004E751A" w:rsidRPr="004E751A" w:rsidRDefault="004E751A" w:rsidP="00D310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24. După arhivarea la sfârşitul anului de gestiune a denunţurilor recepţionate de către persoana</w:t>
      </w:r>
      <w:r w:rsidR="00D310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desemnată, acestea se păstrează pentru un termen de 1 an, după care se lichidează conform normelor de</w:t>
      </w:r>
      <w:r w:rsidR="00D310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secretariat.</w:t>
      </w:r>
    </w:p>
    <w:p w:rsidR="004E751A" w:rsidRPr="004E751A" w:rsidRDefault="004E751A" w:rsidP="00D310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25. Registrele de evidenţă a cazurilor de influenţă necorespunzătoare ţinute pe suport de hârtie se</w:t>
      </w:r>
      <w:r w:rsidR="00D310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arhivează la sfârşitul anului de gestiune de către persoana desemnată şi se păstrează încă pentru un</w:t>
      </w:r>
      <w:r w:rsidR="00D310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termen</w:t>
      </w:r>
      <w:r w:rsidR="00D310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751A">
        <w:rPr>
          <w:rFonts w:ascii="Times New Roman" w:hAnsi="Times New Roman" w:cs="Times New Roman"/>
          <w:sz w:val="24"/>
          <w:szCs w:val="24"/>
          <w:lang w:val="en-US"/>
        </w:rPr>
        <w:t>de 1 an, după care se lichidează conform normelor de secretariat.</w:t>
      </w:r>
    </w:p>
    <w:p w:rsidR="00D31012" w:rsidRDefault="00D31012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31012" w:rsidRDefault="00D31012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31012" w:rsidRDefault="00D31012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31012" w:rsidRDefault="00D31012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31012" w:rsidRDefault="00D31012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31012" w:rsidRDefault="00D31012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31012" w:rsidRDefault="00D31012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31012" w:rsidRDefault="00D31012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E751A" w:rsidRPr="00D11165" w:rsidRDefault="004E751A" w:rsidP="00D11165">
      <w:pPr>
        <w:spacing w:after="0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D11165">
        <w:rPr>
          <w:rFonts w:ascii="Times New Roman" w:hAnsi="Times New Roman" w:cs="Times New Roman"/>
          <w:sz w:val="20"/>
          <w:szCs w:val="20"/>
          <w:lang w:val="en-US"/>
        </w:rPr>
        <w:t>Anexa nr.1</w:t>
      </w:r>
    </w:p>
    <w:p w:rsidR="004E751A" w:rsidRPr="00D11165" w:rsidRDefault="004E751A" w:rsidP="00D11165">
      <w:pPr>
        <w:spacing w:after="0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D11165">
        <w:rPr>
          <w:rFonts w:ascii="Times New Roman" w:hAnsi="Times New Roman" w:cs="Times New Roman"/>
          <w:sz w:val="20"/>
          <w:szCs w:val="20"/>
          <w:lang w:val="en-US"/>
        </w:rPr>
        <w:t>la Regulamentul cu privire</w:t>
      </w:r>
      <w:r w:rsidR="00D1116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11165">
        <w:rPr>
          <w:rFonts w:ascii="Times New Roman" w:hAnsi="Times New Roman" w:cs="Times New Roman"/>
          <w:sz w:val="20"/>
          <w:szCs w:val="20"/>
          <w:lang w:val="en-US"/>
        </w:rPr>
        <w:t>la neadmiterea, denunţarea,</w:t>
      </w:r>
      <w:r w:rsidR="00D1116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11165">
        <w:rPr>
          <w:rFonts w:ascii="Times New Roman" w:hAnsi="Times New Roman" w:cs="Times New Roman"/>
          <w:sz w:val="20"/>
          <w:szCs w:val="20"/>
          <w:lang w:val="en-US"/>
        </w:rPr>
        <w:t>tratarea și evidența</w:t>
      </w:r>
    </w:p>
    <w:p w:rsidR="004E751A" w:rsidRPr="00D11165" w:rsidRDefault="004E751A" w:rsidP="00D11165">
      <w:pPr>
        <w:spacing w:after="0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D11165">
        <w:rPr>
          <w:rFonts w:ascii="Times New Roman" w:hAnsi="Times New Roman" w:cs="Times New Roman"/>
          <w:sz w:val="20"/>
          <w:szCs w:val="20"/>
          <w:lang w:val="en-US"/>
        </w:rPr>
        <w:t>influenţelor necorespunzătoare</w:t>
      </w:r>
      <w:r w:rsidR="00D1116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11165">
        <w:rPr>
          <w:rFonts w:ascii="Times New Roman" w:hAnsi="Times New Roman" w:cs="Times New Roman"/>
          <w:sz w:val="20"/>
          <w:szCs w:val="20"/>
          <w:lang w:val="en-US"/>
        </w:rPr>
        <w:t xml:space="preserve">în cadrul </w:t>
      </w:r>
      <w:r w:rsidR="003D5E6C" w:rsidRPr="00D11165">
        <w:rPr>
          <w:rFonts w:ascii="Times New Roman" w:hAnsi="Times New Roman" w:cs="Times New Roman"/>
          <w:sz w:val="20"/>
          <w:szCs w:val="20"/>
          <w:lang w:val="en-US"/>
        </w:rPr>
        <w:t>S.A. „</w:t>
      </w:r>
      <w:r w:rsidR="00D31012" w:rsidRPr="00D11165">
        <w:rPr>
          <w:rFonts w:ascii="Times New Roman" w:hAnsi="Times New Roman" w:cs="Times New Roman"/>
          <w:sz w:val="20"/>
          <w:szCs w:val="20"/>
          <w:lang w:val="en-US"/>
        </w:rPr>
        <w:t>Drumuri Cahul</w:t>
      </w:r>
      <w:r w:rsidR="003D5E6C" w:rsidRPr="00D11165">
        <w:rPr>
          <w:rFonts w:ascii="Times New Roman" w:hAnsi="Times New Roman" w:cs="Times New Roman"/>
          <w:sz w:val="20"/>
          <w:szCs w:val="20"/>
          <w:lang w:val="en-US"/>
        </w:rPr>
        <w:t>”</w:t>
      </w:r>
    </w:p>
    <w:p w:rsidR="00D11165" w:rsidRDefault="00D11165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11165" w:rsidRDefault="00D11165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E751A" w:rsidRDefault="004E751A" w:rsidP="00D1116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Registrul de evidență a cazurilor de influență necorespunzătoare</w:t>
      </w:r>
    </w:p>
    <w:p w:rsidR="00D11165" w:rsidRDefault="00D11165" w:rsidP="00D1116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443"/>
        <w:gridCol w:w="1151"/>
        <w:gridCol w:w="1181"/>
        <w:gridCol w:w="1509"/>
        <w:gridCol w:w="1509"/>
        <w:gridCol w:w="1509"/>
        <w:gridCol w:w="960"/>
        <w:gridCol w:w="1509"/>
      </w:tblGrid>
      <w:tr w:rsidR="00D11165" w:rsidRPr="004B7032" w:rsidTr="00D11165">
        <w:trPr>
          <w:jc w:val="right"/>
        </w:trPr>
        <w:tc>
          <w:tcPr>
            <w:tcW w:w="1221" w:type="dxa"/>
          </w:tcPr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Nr.</w:t>
            </w:r>
          </w:p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d/o</w:t>
            </w:r>
          </w:p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 ora</w:t>
            </w:r>
          </w:p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Recepţionării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comunicării</w:t>
            </w:r>
          </w:p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Numele,</w:t>
            </w:r>
          </w:p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prenumele şi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funcţia</w:t>
            </w:r>
          </w:p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agentului</w:t>
            </w:r>
          </w:p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public,</w:t>
            </w:r>
          </w:p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subdiviziunea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 care</w:t>
            </w:r>
          </w:p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activează</w:t>
            </w:r>
          </w:p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Datele de</w:t>
            </w:r>
          </w:p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identificare</w:t>
            </w:r>
          </w:p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persoanei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care</w:t>
            </w:r>
          </w:p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încercat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să exercite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influenţa</w:t>
            </w:r>
          </w:p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necorespunzătoare</w:t>
            </w:r>
          </w:p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Descrierea</w:t>
            </w:r>
          </w:p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influenţei</w:t>
            </w:r>
          </w:p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necorespunzătoare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(data, locul,</w:t>
            </w:r>
          </w:p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circumstanţe)</w:t>
            </w:r>
          </w:p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</w:tcPr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Dovezi ale</w:t>
            </w:r>
          </w:p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exercitării</w:t>
            </w:r>
          </w:p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influenţei</w:t>
            </w:r>
          </w:p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necorespunzătoare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(documente,</w:t>
            </w:r>
          </w:p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martori, altele)</w:t>
            </w:r>
          </w:p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</w:tcPr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Semnătura</w:t>
            </w:r>
          </w:p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agentului</w:t>
            </w:r>
          </w:p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public</w:t>
            </w:r>
          </w:p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</w:tcPr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Semnătura</w:t>
            </w:r>
          </w:p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responsabilului</w:t>
            </w:r>
          </w:p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</w:t>
            </w: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ecepţionarea</w:t>
            </w:r>
            <w:proofErr w:type="gramEnd"/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comunicării influenţei</w:t>
            </w:r>
          </w:p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necorespunzătoare</w:t>
            </w:r>
          </w:p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11165" w:rsidRPr="00D11165" w:rsidTr="00D11165">
        <w:trPr>
          <w:jc w:val="right"/>
        </w:trPr>
        <w:tc>
          <w:tcPr>
            <w:tcW w:w="1221" w:type="dxa"/>
          </w:tcPr>
          <w:p w:rsidR="00D11165" w:rsidRPr="00D11165" w:rsidRDefault="00D11165" w:rsidP="00D111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221" w:type="dxa"/>
          </w:tcPr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</w:tcPr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</w:tcPr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</w:tcPr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11165" w:rsidRPr="00D11165" w:rsidTr="00D11165">
        <w:trPr>
          <w:jc w:val="right"/>
        </w:trPr>
        <w:tc>
          <w:tcPr>
            <w:tcW w:w="1221" w:type="dxa"/>
          </w:tcPr>
          <w:p w:rsidR="00D11165" w:rsidRPr="00D11165" w:rsidRDefault="00D11165" w:rsidP="00D111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1221" w:type="dxa"/>
          </w:tcPr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</w:tcPr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</w:tcPr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</w:tcPr>
          <w:p w:rsidR="00D11165" w:rsidRPr="00D11165" w:rsidRDefault="00D11165" w:rsidP="00D11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D11165" w:rsidRDefault="00D11165" w:rsidP="00D1116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11165" w:rsidRDefault="00D11165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11165" w:rsidRDefault="00D11165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11165" w:rsidRDefault="00D11165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11165" w:rsidRDefault="00D11165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11165" w:rsidRDefault="00D11165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11165" w:rsidRDefault="00D11165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11165" w:rsidRDefault="00D11165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11165" w:rsidRDefault="00D11165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11165" w:rsidRDefault="00D11165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11165" w:rsidRDefault="00D11165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11165" w:rsidRDefault="00D11165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11165" w:rsidRDefault="00D11165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11165" w:rsidRDefault="00D11165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11165" w:rsidRDefault="00D11165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11165" w:rsidRDefault="00D11165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11165" w:rsidRDefault="00D11165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11165" w:rsidRDefault="00D11165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11165" w:rsidRDefault="00D11165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11165" w:rsidRDefault="00D11165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11165" w:rsidRDefault="00D11165" w:rsidP="00D111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4E751A" w:rsidRPr="00D11165" w:rsidRDefault="004E751A" w:rsidP="00D111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D11165">
        <w:rPr>
          <w:rFonts w:ascii="Times New Roman" w:hAnsi="Times New Roman" w:cs="Times New Roman"/>
          <w:sz w:val="20"/>
          <w:szCs w:val="20"/>
          <w:lang w:val="en-US"/>
        </w:rPr>
        <w:t>Anexa nr.</w:t>
      </w:r>
      <w:r w:rsidR="00C374F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11165">
        <w:rPr>
          <w:rFonts w:ascii="Times New Roman" w:hAnsi="Times New Roman" w:cs="Times New Roman"/>
          <w:sz w:val="20"/>
          <w:szCs w:val="20"/>
          <w:lang w:val="en-US"/>
        </w:rPr>
        <w:t>2</w:t>
      </w:r>
    </w:p>
    <w:p w:rsidR="004E751A" w:rsidRPr="00D11165" w:rsidRDefault="004E751A" w:rsidP="00D111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D11165">
        <w:rPr>
          <w:rFonts w:ascii="Times New Roman" w:hAnsi="Times New Roman" w:cs="Times New Roman"/>
          <w:sz w:val="20"/>
          <w:szCs w:val="20"/>
          <w:lang w:val="en-US"/>
        </w:rPr>
        <w:t>la Regulamentul cu privire</w:t>
      </w:r>
      <w:r w:rsidR="00D1116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11165">
        <w:rPr>
          <w:rFonts w:ascii="Times New Roman" w:hAnsi="Times New Roman" w:cs="Times New Roman"/>
          <w:sz w:val="20"/>
          <w:szCs w:val="20"/>
          <w:lang w:val="en-US"/>
        </w:rPr>
        <w:t>la neadmiterea, denunţarea,</w:t>
      </w:r>
    </w:p>
    <w:p w:rsidR="004E751A" w:rsidRPr="00D11165" w:rsidRDefault="004E751A" w:rsidP="00D111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D11165">
        <w:rPr>
          <w:rFonts w:ascii="Times New Roman" w:hAnsi="Times New Roman" w:cs="Times New Roman"/>
          <w:sz w:val="20"/>
          <w:szCs w:val="20"/>
          <w:lang w:val="en-US"/>
        </w:rPr>
        <w:t>tratarea și evidența</w:t>
      </w:r>
      <w:r w:rsidR="00D1116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11165">
        <w:rPr>
          <w:rFonts w:ascii="Times New Roman" w:hAnsi="Times New Roman" w:cs="Times New Roman"/>
          <w:sz w:val="20"/>
          <w:szCs w:val="20"/>
          <w:lang w:val="en-US"/>
        </w:rPr>
        <w:t>influenţelor necorespunzătoare</w:t>
      </w:r>
    </w:p>
    <w:p w:rsidR="004E751A" w:rsidRPr="00D11165" w:rsidRDefault="004E751A" w:rsidP="00D111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D11165">
        <w:rPr>
          <w:rFonts w:ascii="Times New Roman" w:hAnsi="Times New Roman" w:cs="Times New Roman"/>
          <w:sz w:val="20"/>
          <w:szCs w:val="20"/>
          <w:lang w:val="en-US"/>
        </w:rPr>
        <w:t xml:space="preserve">în cadrul </w:t>
      </w:r>
      <w:r w:rsidR="003D5E6C" w:rsidRPr="00D11165">
        <w:rPr>
          <w:rFonts w:ascii="Times New Roman" w:hAnsi="Times New Roman" w:cs="Times New Roman"/>
          <w:sz w:val="20"/>
          <w:szCs w:val="20"/>
          <w:lang w:val="en-US"/>
        </w:rPr>
        <w:t>S.A. „</w:t>
      </w:r>
      <w:r w:rsidR="00D11165" w:rsidRPr="00D11165">
        <w:rPr>
          <w:rFonts w:ascii="Times New Roman" w:hAnsi="Times New Roman" w:cs="Times New Roman"/>
          <w:sz w:val="20"/>
          <w:szCs w:val="20"/>
          <w:lang w:val="en-US"/>
        </w:rPr>
        <w:t>Drumuri Cahul</w:t>
      </w:r>
      <w:r w:rsidR="003D5E6C" w:rsidRPr="00D11165">
        <w:rPr>
          <w:rFonts w:ascii="Times New Roman" w:hAnsi="Times New Roman" w:cs="Times New Roman"/>
          <w:sz w:val="20"/>
          <w:szCs w:val="20"/>
          <w:lang w:val="en-US"/>
        </w:rPr>
        <w:t>”</w:t>
      </w:r>
    </w:p>
    <w:p w:rsidR="00D11165" w:rsidRDefault="00D11165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11165" w:rsidRDefault="00D11165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E751A" w:rsidRPr="004E751A" w:rsidRDefault="004E751A" w:rsidP="00D1116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BORDEROUL</w:t>
      </w:r>
    </w:p>
    <w:p w:rsidR="004E751A" w:rsidRPr="004E751A" w:rsidRDefault="004E751A" w:rsidP="00D1116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E751A">
        <w:rPr>
          <w:rFonts w:ascii="Times New Roman" w:hAnsi="Times New Roman" w:cs="Times New Roman"/>
          <w:sz w:val="24"/>
          <w:szCs w:val="24"/>
          <w:lang w:val="en-US"/>
        </w:rPr>
        <w:t>de evidenţă a accesului la Registrul de evidenţă a cazurilor de influenţă necorespunzătoare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1227"/>
        <w:gridCol w:w="2826"/>
        <w:gridCol w:w="3969"/>
        <w:gridCol w:w="1271"/>
      </w:tblGrid>
      <w:tr w:rsidR="002F34CB" w:rsidRPr="004B7032" w:rsidTr="002F34CB">
        <w:tc>
          <w:tcPr>
            <w:tcW w:w="478" w:type="dxa"/>
          </w:tcPr>
          <w:p w:rsidR="00D11165" w:rsidRPr="002F34CB" w:rsidRDefault="00D11165" w:rsidP="00D111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Nr.</w:t>
            </w:r>
          </w:p>
          <w:p w:rsidR="00D11165" w:rsidRPr="002F34CB" w:rsidRDefault="00D11165" w:rsidP="00D111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d/o</w:t>
            </w:r>
          </w:p>
          <w:p w:rsidR="00D11165" w:rsidRPr="002F34CB" w:rsidRDefault="00D11165" w:rsidP="004E75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7" w:type="dxa"/>
          </w:tcPr>
          <w:p w:rsidR="00D11165" w:rsidRPr="002F34CB" w:rsidRDefault="00D11165" w:rsidP="00D111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Data şi ora</w:t>
            </w:r>
            <w:r w:rsidR="002F3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recepţionării</w:t>
            </w:r>
            <w:r w:rsidR="002F3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solicitării</w:t>
            </w:r>
            <w:r w:rsidR="002F3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 acces</w:t>
            </w:r>
          </w:p>
          <w:p w:rsidR="00D11165" w:rsidRPr="002F34CB" w:rsidRDefault="00D11165" w:rsidP="004E75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6" w:type="dxa"/>
          </w:tcPr>
          <w:p w:rsidR="00D11165" w:rsidRPr="002F34CB" w:rsidRDefault="00D11165" w:rsidP="00D111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Numele, prenumele şi funcţia</w:t>
            </w:r>
          </w:p>
          <w:p w:rsidR="00D11165" w:rsidRPr="002F34CB" w:rsidRDefault="00D11165" w:rsidP="00D111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persoanei care solicită acces</w:t>
            </w:r>
          </w:p>
          <w:p w:rsidR="00D11165" w:rsidRPr="002F34CB" w:rsidRDefault="00D11165" w:rsidP="00D1116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 directorul S.A. „Drumuri Cahul”, instituţia care realizează testarea –</w:t>
            </w:r>
            <w:r w:rsid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conform pct.24 d</w:t>
            </w:r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</w:t>
            </w:r>
            <w:r w:rsid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Regulamentul -</w:t>
            </w:r>
            <w:r w:rsid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cadru cu privire la evidenţa</w:t>
            </w:r>
            <w:r w:rsid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cazurilor de influenţă necorespunzătoare aprobat</w:t>
            </w:r>
          </w:p>
          <w:p w:rsidR="00D11165" w:rsidRPr="002F34CB" w:rsidRDefault="00D11165" w:rsidP="00D1116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prin HG nr.767/19.09.2004;</w:t>
            </w:r>
          </w:p>
          <w:p w:rsidR="00D11165" w:rsidRPr="002F34CB" w:rsidRDefault="00D11165" w:rsidP="00D1116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 alte persoane – conform</w:t>
            </w:r>
          </w:p>
          <w:p w:rsidR="00D11165" w:rsidRPr="002F34CB" w:rsidRDefault="00D11165" w:rsidP="002F34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pct.</w:t>
            </w:r>
            <w:r w:rsid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 din Regulamentul</w:t>
            </w:r>
            <w:r w:rsid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sus-menționat</w:t>
            </w:r>
          </w:p>
        </w:tc>
        <w:tc>
          <w:tcPr>
            <w:tcW w:w="3969" w:type="dxa"/>
          </w:tcPr>
          <w:p w:rsidR="002F34CB" w:rsidRPr="002F34CB" w:rsidRDefault="002F34CB" w:rsidP="002F34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Temeiul solicitării:</w:t>
            </w:r>
          </w:p>
          <w:p w:rsidR="002F34CB" w:rsidRPr="002F34CB" w:rsidRDefault="002F34CB" w:rsidP="002F34C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 pentru directorul S.A. „Drumuri Cahul” –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art.7 alin.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(2) </w:t>
            </w:r>
            <w:proofErr w:type="gramStart"/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lit.b</w:t>
            </w:r>
            <w:proofErr w:type="gramEnd"/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 din Legea nr.325/2013,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pct.6 şi pct.24 din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Regulamentul-cadru cu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privire la evidenţa cazurilor de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influenţă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necorespunzătoare aprobat prin HG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nr.767/19.09.2004;</w:t>
            </w:r>
          </w:p>
          <w:p w:rsidR="002F34CB" w:rsidRPr="002F34CB" w:rsidRDefault="002F34CB" w:rsidP="002F34C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 pentru instituţia care efectuează testarea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integrităţii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profesionale – art.7 alin.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(2)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lit.c) din Legea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nr.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325/2013 şi pct.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 din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Regulamentul sus-menţionat;</w:t>
            </w:r>
          </w:p>
          <w:p w:rsidR="002F34CB" w:rsidRPr="002F34CB" w:rsidRDefault="002F34CB" w:rsidP="002F34C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 pentru alte persoane – temei restricţionat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în baza pct.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 şi 26 din Regulamentul susmenţionat</w:t>
            </w:r>
          </w:p>
          <w:p w:rsidR="00D11165" w:rsidRPr="002F34CB" w:rsidRDefault="00D11165" w:rsidP="004E751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1" w:type="dxa"/>
          </w:tcPr>
          <w:p w:rsidR="002F34CB" w:rsidRPr="002F34CB" w:rsidRDefault="002F34CB" w:rsidP="002F34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 care 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fost oferit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accesul sau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menţiunea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despre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refuzul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F3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accesului</w:t>
            </w:r>
          </w:p>
          <w:p w:rsidR="00D11165" w:rsidRPr="002F34CB" w:rsidRDefault="00D11165" w:rsidP="004E75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F34CB" w:rsidRPr="002F34CB" w:rsidTr="002F34CB">
        <w:tc>
          <w:tcPr>
            <w:tcW w:w="478" w:type="dxa"/>
          </w:tcPr>
          <w:p w:rsidR="00D11165" w:rsidRPr="002F34CB" w:rsidRDefault="002F34CB" w:rsidP="002F34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227" w:type="dxa"/>
          </w:tcPr>
          <w:p w:rsidR="00D11165" w:rsidRPr="002F34CB" w:rsidRDefault="00D11165" w:rsidP="004E75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6" w:type="dxa"/>
          </w:tcPr>
          <w:p w:rsidR="00D11165" w:rsidRPr="002F34CB" w:rsidRDefault="00D11165" w:rsidP="004E75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11165" w:rsidRPr="002F34CB" w:rsidRDefault="00D11165" w:rsidP="004E75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</w:tcPr>
          <w:p w:rsidR="00D11165" w:rsidRPr="002F34CB" w:rsidRDefault="00D11165" w:rsidP="004E75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F34CB" w:rsidRPr="002F34CB" w:rsidTr="002F34CB">
        <w:tc>
          <w:tcPr>
            <w:tcW w:w="478" w:type="dxa"/>
          </w:tcPr>
          <w:p w:rsidR="00D11165" w:rsidRPr="002F34CB" w:rsidRDefault="002F34CB" w:rsidP="002F34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227" w:type="dxa"/>
          </w:tcPr>
          <w:p w:rsidR="00D11165" w:rsidRPr="002F34CB" w:rsidRDefault="00D11165" w:rsidP="004E75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6" w:type="dxa"/>
          </w:tcPr>
          <w:p w:rsidR="00D11165" w:rsidRPr="002F34CB" w:rsidRDefault="00D11165" w:rsidP="004E75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11165" w:rsidRPr="002F34CB" w:rsidRDefault="00D11165" w:rsidP="004E75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</w:tcPr>
          <w:p w:rsidR="00D11165" w:rsidRPr="002F34CB" w:rsidRDefault="00D11165" w:rsidP="004E75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D11165" w:rsidRDefault="00D11165" w:rsidP="004E751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11165" w:rsidSect="004E751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E6"/>
    <w:rsid w:val="000904D2"/>
    <w:rsid w:val="000B0E23"/>
    <w:rsid w:val="00296B5E"/>
    <w:rsid w:val="002D4645"/>
    <w:rsid w:val="002F34CB"/>
    <w:rsid w:val="003D5E6C"/>
    <w:rsid w:val="00424BFE"/>
    <w:rsid w:val="00477414"/>
    <w:rsid w:val="0048675B"/>
    <w:rsid w:val="004B7032"/>
    <w:rsid w:val="004E751A"/>
    <w:rsid w:val="005E6612"/>
    <w:rsid w:val="005F6CE6"/>
    <w:rsid w:val="006A1E4F"/>
    <w:rsid w:val="00BA09E2"/>
    <w:rsid w:val="00C374FD"/>
    <w:rsid w:val="00D11165"/>
    <w:rsid w:val="00D31012"/>
    <w:rsid w:val="00F5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4A3E"/>
  <w15:chartTrackingRefBased/>
  <w15:docId w15:val="{47F15985-090E-4F86-A080-C27D335F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2257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9</cp:revision>
  <dcterms:created xsi:type="dcterms:W3CDTF">2024-11-11T13:48:00Z</dcterms:created>
  <dcterms:modified xsi:type="dcterms:W3CDTF">2025-03-18T12:40:00Z</dcterms:modified>
</cp:coreProperties>
</file>