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E3C" w:rsidRPr="00381E3C" w:rsidRDefault="00381E3C" w:rsidP="007A704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Aprobat</w:t>
      </w:r>
      <w:r w:rsidR="00162848">
        <w:rPr>
          <w:rFonts w:ascii="Times New Roman" w:hAnsi="Times New Roman" w:cs="Times New Roman"/>
          <w:sz w:val="24"/>
          <w:szCs w:val="24"/>
          <w:lang w:val="en-US"/>
        </w:rPr>
        <w:t xml:space="preserve"> la ședința Consiliului</w:t>
      </w:r>
    </w:p>
    <w:p w:rsidR="00381E3C" w:rsidRPr="00381E3C" w:rsidRDefault="00381E3C" w:rsidP="009B3F2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 xml:space="preserve">prin </w:t>
      </w:r>
      <w:r w:rsidR="00162848">
        <w:rPr>
          <w:rFonts w:ascii="Times New Roman" w:hAnsi="Times New Roman" w:cs="Times New Roman"/>
          <w:sz w:val="24"/>
          <w:szCs w:val="24"/>
          <w:lang w:val="en-US"/>
        </w:rPr>
        <w:t xml:space="preserve">proces-verbal </w:t>
      </w:r>
      <w:r w:rsidR="009B3F25">
        <w:rPr>
          <w:rFonts w:ascii="Times New Roman" w:hAnsi="Times New Roman" w:cs="Times New Roman"/>
          <w:sz w:val="24"/>
          <w:szCs w:val="24"/>
          <w:lang w:val="en-US"/>
        </w:rPr>
        <w:t>din 17/12/2024</w:t>
      </w:r>
      <w:bookmarkStart w:id="0" w:name="_GoBack"/>
      <w:bookmarkEnd w:id="0"/>
    </w:p>
    <w:p w:rsidR="007A7047" w:rsidRDefault="007A7047" w:rsidP="007A704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81E3C" w:rsidRPr="00381E3C" w:rsidRDefault="00381E3C" w:rsidP="007A704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REGULAMENT</w:t>
      </w:r>
    </w:p>
    <w:p w:rsidR="00381E3C" w:rsidRPr="00381E3C" w:rsidRDefault="00381E3C" w:rsidP="007A704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cu privire la regimul juridic al cadourilor</w:t>
      </w:r>
    </w:p>
    <w:p w:rsidR="007A7047" w:rsidRDefault="007A7047" w:rsidP="007A704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81E3C" w:rsidRPr="00381E3C" w:rsidRDefault="00381E3C" w:rsidP="007A704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I. DISPOZIŢII GENERALE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1. Prevederile Regulamentului privind regimul juridic al cadourilor determină modul 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activitate a Comisiei de evaluare şi evidenţă a cadourilor, precum şi modul de evidenţă, evaluare,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 xml:space="preserve">păstrare, </w:t>
      </w:r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tilizare şi răscumpărare a cadourilor oferite din politeţe sau cu prilejul acţiunilor 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protocol (în continuare – cadouri admisibile) şi a cadourilor inadmisibile oferite agenţilor publici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în sensul art.</w:t>
      </w:r>
      <w:r w:rsidR="001628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3 din Legea integrităţii nr.</w:t>
      </w:r>
      <w:r w:rsidR="001628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82/2017.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2. În sensul prezentului Regulament, noţiunile utilizate au următoarele semnificaţii:</w:t>
      </w:r>
    </w:p>
    <w:p w:rsid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i/>
          <w:sz w:val="24"/>
          <w:szCs w:val="24"/>
          <w:lang w:val="en-US"/>
        </w:rPr>
        <w:t>cadouri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 xml:space="preserve"> – bunuri (corporale şi incorporale), servicii, favoruri, invitaţii sau orice alt avantaj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oferit unui agent public în legătură cu exercitarea funcţiilor sale profesionale;</w:t>
      </w:r>
    </w:p>
    <w:p w:rsid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i/>
          <w:sz w:val="24"/>
          <w:szCs w:val="24"/>
          <w:lang w:val="en-US"/>
        </w:rPr>
        <w:t>cadouri admisibile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 xml:space="preserve"> – cadouri oferite din politeţe sau cu prilejul acţiunilor de protocol,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inclusiv monede metalice jubiliare şi comemorative;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i/>
          <w:sz w:val="24"/>
          <w:szCs w:val="24"/>
          <w:lang w:val="en-US"/>
        </w:rPr>
        <w:t>cadouri inadmisibile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 xml:space="preserve"> – bunuri, servicii, favoruri, invitaţii sau orice alt avantaj care le sunt</w:t>
      </w:r>
      <w:r w:rsidR="001628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destinate personal agenţilor publici sau familiei lor, dacă oferirea sau acordarea lor este legată</w:t>
      </w:r>
      <w:r w:rsidR="001628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direct sau indirect de desfăşurarea activităţii lor profesionale;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2848">
        <w:rPr>
          <w:rFonts w:ascii="Times New Roman" w:hAnsi="Times New Roman" w:cs="Times New Roman"/>
          <w:i/>
          <w:sz w:val="24"/>
          <w:szCs w:val="24"/>
          <w:lang w:val="en-US"/>
        </w:rPr>
        <w:t>cadouri oferite din politeţe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 xml:space="preserve"> – cadouri oferite în contextul unor sărbători/evenimente</w:t>
      </w:r>
      <w:r w:rsidR="001628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personale/</w:t>
      </w:r>
      <w:r w:rsidR="00162848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rofesionale/</w:t>
      </w:r>
      <w:r w:rsidR="001628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naţionale în semn de înaltă apreciere, care nu influenţează şi nu sunt</w:t>
      </w:r>
      <w:r w:rsidR="001628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susceptibile de a fi percepute ca influenţând îndeplinirea imparţială a atribuţiilor de serviciu;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2848">
        <w:rPr>
          <w:rFonts w:ascii="Times New Roman" w:hAnsi="Times New Roman" w:cs="Times New Roman"/>
          <w:i/>
          <w:sz w:val="24"/>
          <w:szCs w:val="24"/>
          <w:lang w:val="en-US"/>
        </w:rPr>
        <w:t xml:space="preserve">cadouri oferite cu prilejul acţiunilor de protocol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– bunuri, inclusiv produse perisabile,</w:t>
      </w:r>
      <w:r w:rsidR="001628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oferite, de obicei, în cadrul delegaţiilor oficiale sau oferite reprezentanţilor unei alte entităţi</w:t>
      </w:r>
      <w:r w:rsidR="001628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publice, comunităţi sau guvern străin.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3. Cadourile oferite cu prilejul acţiunilor de protocol trebuie să fie acceptate de agenţii</w:t>
      </w:r>
      <w:r w:rsidR="001628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publici în numele entităţii publice. Primirea cadourilor oferite cu prilejul acţiunilor de protocol se</w:t>
      </w:r>
      <w:r w:rsidR="001628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înregistrează în Registrul de evidenţă a cadourilor admisibile.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4. Cadoul oferit cu prilejul acţiunilor de protocol se consideră proprietatea entităţii publice,</w:t>
      </w:r>
      <w:r w:rsidR="001628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indiferent de valoare.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5. Cadourile admisibile care includ privilegii, invitaţii/bilete la evenimente sportive,</w:t>
      </w:r>
      <w:r w:rsidR="001628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culturale sau sociale, acoperirea cheltuielilor de transport, cazare şi diurnă, reduceri, gratuităţi şi</w:t>
      </w:r>
      <w:r w:rsidR="001628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programe de loialitate, altele decât cele prevăzute la pct.7 subpct.4), ori orice alte favoruri sau</w:t>
      </w:r>
      <w:r w:rsidR="001628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 xml:space="preserve">avantaje oferite unui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lastRenderedPageBreak/>
        <w:t>agent public sunt pasibile de a fi declarate, evaluate şi luate în evidenţă</w:t>
      </w:r>
      <w:r w:rsidR="001628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conform procedurii stabilite de prezentul Regulament.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6. Banii aflaţi în circulaţie, în monedă naţională sau străină, mijloacele şi instrumentele</w:t>
      </w:r>
      <w:r w:rsidR="001628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financiare de plată nu sunt considerate cadouri admisibile.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7. Sunt exceptate de la prevederile prezentului Regulament: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1) medaliile, decoraţiile, insignele, ordinele, eşarfele, colanele şi altele asemenea primite în</w:t>
      </w:r>
      <w:r w:rsidR="001628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exercitarea funcţiei;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2) obiectele de birotică şi papetărie (produse de stocare a datelor, genţi din pânză, agende,</w:t>
      </w:r>
      <w:r w:rsidR="001628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blocnotesuri, carnete şi caiete sub diferite forme, mape, creioane, pixuri, markere şi alte obiecte</w:t>
      </w:r>
      <w:r w:rsidR="001628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similare) recepţionate de agenţii publici cu ocazia participării acestora la seminare de instruire,</w:t>
      </w:r>
      <w:r w:rsidR="001628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conferinţe, mese rotunde şi alte evenimente similare;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3) produsele perisabile;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4) cadourile primite de agenţii publici sub formă de beneficii sau reduceri la achiziţionarea</w:t>
      </w:r>
      <w:r w:rsidR="001628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unor bunuri şi servicii acordate unei categorii largi de persoane, publicului în general sau uneiîntregi clientele;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5) cheltuielile plătite de către o organizaţie necomercială autohtonă sau străină, o entitate</w:t>
      </w:r>
      <w:r w:rsidR="001628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publică străină sau autohtonă pentru participarea la o conferinţă, vizită de studiu, misiune de</w:t>
      </w:r>
      <w:r w:rsidR="001628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cercetare sau orice altă întâlnire în interes de serviciu.</w:t>
      </w:r>
    </w:p>
    <w:p w:rsidR="007A7047" w:rsidRDefault="007A7047" w:rsidP="007A704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A7047" w:rsidRDefault="00381E3C" w:rsidP="007A704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II. COMISIA DE EVIDENŢĂ ŞI EVALUARE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 xml:space="preserve">A CADOURILOR. </w:t>
      </w:r>
    </w:p>
    <w:p w:rsidR="00381E3C" w:rsidRPr="00381E3C" w:rsidRDefault="00381E3C" w:rsidP="007A704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EVALUAREA CADOURILOR ADMISIBILE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8. În cadrul entităţilor publice în care activează agenţi publici în sensul art.3 din Legea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integrităţii nr.82/2017 (în continuare – beneficiar) se constituie, prin act administrativ al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conducătorului, Comisia de evidenţă şi evaluare a cadourilor (în continuare – Comisie).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9. Comisia este compusă din 3 membri, din care fac parte preşedintele şi secretarul. Din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componenţa Comisiei face parte, în mod obligatoriu, un angajat al serviciului economico-financiar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din cadrul entităţii publice, care, de regulă, are calitatea de secretar. Prin actul administrativ de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constituire a Comisiei sunt desemnaţi şi 3 supleanţi.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10. Pentru activitatea desfăşurată în cadrul Comisiei, membrii acesteia nu sunt remuneraţi.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11. Comisia are următoarele atribuţii: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1) ţine evidenţa cadourilor admisibile şi inadmisibile;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2) evaluează cadourile admisibile;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3) returnează cadoul admisibil beneficiarului;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4) propune conducătorului entităţii publice, după caz, păstrarea cadoului admisibil în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proprietatea entităţii publice, transmiterea cadoului inadmisibil către Centrul Naţional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Anticorupţie sau transmiterea cadoului admisibil cu titlu gratuit în scopuri de caritate;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lastRenderedPageBreak/>
        <w:t>5) asigură păstrarea şi securitatea cadourilor admisibile predate Comisiei;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6) inventariază cadourile admisibile;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7) predă cadourile inadmisibile recepţionate de la beneficiari Centrului Naţional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Anticorupţie;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8) menţine şi actualizează trimestrial pe pagina web oficială a entităţii publice Registrul de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evidenţă a cadourilor admisibile şi Registrul de evidenţă a cadourilor inadmisibile (în continuare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– registre).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12. Şedinţele Comisiei se convoacă de către preşedinte în termen de 3 zile lucrătoare de la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data depunerii de către beneficiar a demersului privind predarea cadoului admisibil.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13. Şedinţele Comisiei sunt deliberative dacă la ele participă toţi membrii acesteia. Toate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deciziile Comisiei se iau cu majoritatea simplă de voturi şi se consemnează într-un proces-verbal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semnat de toţi membrii.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14. În cazul în care unul sau mai mulţi membri ai Comisiei au solicitat evaluarea cadoului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admisibil sau unul dintre membrii Comisiei este beneficiarul unui cadou admisibil sau inadmisibil,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aceştia nu participă la şedinţele Comisiei, fiind înlocuiţi de supleanţi, în ordinea indicată în actul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administrativ de constituire a Comisiei. Dispoziţiile pct.13 se aplică în mod corespunzător.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15. În cazul neparticipării preşedintelui sau a secretarului, Comisia decide exercitarea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atribuţiilor acestora de către unul dintre membrii ei sau, după caz, de către supleant.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16. Comisia evaluează cadoul admisibil, ţinând cont de preţul de piaţă al acestuia indicat în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demersul beneficiarului sau documentele anexate la demers. În cazurile în care stabilirea valorii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serviciilor, favorurilor, privilegiilor, invitaţiilor sau a oricărui alt avantaj prezintă dificultăţi pentru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beneficiar, acesta le va declara fără a indica valoarea cadoului.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17. În cazul absenţei informaţiilor privind preţul cadoului admisibil, Comisia determină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valoarea acestuia pornind de la preţul de piaţă la data predării cadoului admisibil pentru bunuri sau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servicii analogice şi utilizând o medie de trei mostre ale căror preţuri să difere semnificativ.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18. Dacă se cunoaşte preţul cadoului admisibil în valută străină, valoarea acestuia se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stabileşte în lei moldoveneşti la cursul oficial stabilit de Banca Naţională a Moldovei la ziua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evaluării.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19. În cazul în care Comisia ajunge la concluzia că respectivul cadou admisibil poate avea o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valoare istorică, ştiinţifică, artistică sau altă valoare culturală şi evaluarea acestuia este imposibilă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din cauza unicităţii sale, precum şi în situaţia în care nu se ajunge la un consens asupra valorii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cadoului admisibil, Comisia, în termen de 5 zile lucrătoare, va înainta un demers scris experţilor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în domeniu pentru obţinerea raportului de evaluare.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20. Consultarea experţilor se efectuează de către entitatea publică care solicită evaluarea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cadoului admisibil. Evaluarea se efectuează din contul mijloacelor financiare ale entităţii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solicitante.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21. În cazul în care Comisia a decis că nu este necesară invitarea unui expert pentru evaluarea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cadoului admisibil şi nu a ajuns la un consens asupra deciziei ce urmează a fi luată în privinţa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evaluării cadoului admisibil, preşedintele Comisiei convoacă, în termen de 5 zile lucrătoare, o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 xml:space="preserve">şedinţă suplimentară. În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lastRenderedPageBreak/>
        <w:t>cazul în care la şedinţa suplimentară nu se ajunge la un consens asupra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valorii cadoului admisibil, Comisia va înainta, în termen de 3 zile lucrătoare, un demers scris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experţilor în domeniu pentru obţinerea raportului de evaluare.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22. Ca urmare a evaluării, Comisia ia una dintre următoarele decizii: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1) returnarea cadoului admisibil beneficiarului – în cazul în care valoarea cadourilor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admisibile în decursul unui an calendaristic nu depăşeşte cumulativ suma de 1000 de lei;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2) răscumpărarea cadoului admisibil dacă beneficiarul solicită acest lucru – în cazul în care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valoarea cadourilor admisibile în decursul unui an calendaristic depăşeşte cumulativ suma de 1000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de lei;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3) trecerea cadoului admisibil în proprietatea entităţilor publice: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a) în cazul în care valoarea cumulativă a cadourilor admisibile în decursul unui an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calendaristic depăşeşte suma de 1000 de lei şi beneficiarul nu a prezentat, în termenul stabilit,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dovada de plată a contravalorii;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b) dacă beneficiarul solicită în mod expres în demersul privind predarea cadoului admisibil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transmiterea acestuia în proprietatea entităţii publice;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4) predarea către Centrul Naţional Anticorupţie a cadourilor recepţionate de la beneficiari,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care, în urma evaluării Comisiei, sunt considerate cadouri inadmisibile, cu informarea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conducătorului entităţii publice.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23. În cazul în care nu este de acord cu decizia Comisiei de trecere a cadoului admisibil în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proprietatea entităţii publice, beneficiarul este în drept să conteste în instanţa de contencios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administrativ.</w:t>
      </w:r>
    </w:p>
    <w:p w:rsidR="007A7047" w:rsidRDefault="007A7047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81E3C" w:rsidRPr="00381E3C" w:rsidRDefault="00381E3C" w:rsidP="007A704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III. EVIDENŢA CADOURILOR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24. Beneficiarul are obligaţia să declare cadourile admisibile şi cele inadmisibile în cazul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oferirii acestora fără ştirea sa (lăsat în birou, anticameră etc.).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Solicitarea sau acceptarea cadourilor inadmisibile constituie acte de corupţie în sensul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Codului penal al Republicii Moldova nr.985/2002 şi Legii integrităţii nr.82/2017.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25. Cadourile admisibile sunt prezentate Comisiei de către beneficiar în starea iniţială, în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termen de 3 zile lucrătoare de la primire. În cazul în care cadoul admisibil este primit în timpul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aflării beneficiarului în deplasare, acesta urmează a fi prezentat în termen de 3 zile lucrătoare de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la data revenirii la locul de muncă.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26. Beneficiarul înaintează Comisiei un demers privind predarea cadoului admisibil (în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continuare – demers), formulat în scris conform anexei nr.1, care este însoţit de cadoul admisibil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primit şi, după caz, de alte documente aferente acestuia.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27. După primirea demersului, secretarul Comisiei întocmeşte un act de predare–primire a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cadoului admisibil, conform anexei nr.2. Copia actului de predare–primire este eliberată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beneficiarului.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lastRenderedPageBreak/>
        <w:t>28. Cadourile admisibile se înregistrează într-un registru special, cu caracter public, ţinut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manual şi electronic, denumit Registru de evidenţă a cadourilor admisibile. Cadourile primite de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către beneficiarii a căror identitate şi calitate constituie secret de stat în condiţiile Legii nr.245/2008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cu privire la secretul de stat se înregistrează într-un registru special, care nu este public.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29. Registrul de evidenţă a cadourilor admisibile se ţine în limba română şi trebuie să fie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întocmit conform anexei nr.3.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30. La oferirea unui cadou inadmisibil, beneficiarul are obligaţia să îl refuze, asigurându-se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cu cel puţin un martor, inclusiv dintre colegii de serviciu, după posibilitate.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31. Beneficiarul anunţă imediat, în scris, conducătorul entităţii publice în care activează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despre tentativa oferirii şi/sau oferirea cadoului inadmisibil, iar în cazul oferirii acestuia fără ştirea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sa – imediat ce a cunoscut despre oferirea lui.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32. Beneficiarul raportează imediat tentativa oferirii şi/sau oferirea cadoului inadmisibil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Centrului Naţional Anticorupţie. Raportarea documentată este făcută prin poşta electronică, la care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se ataşează demersul semnat olograf sau electronic şi scanat de către beneficiar, conţinând şi viza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aplicată a conducătorului entităţii publice în care activează beneficiarul, demersul fiind expediat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în original, în termen de 3 zile lucrătoare, prin poştă, Centrului Naţional Anticorupţie.</w:t>
      </w:r>
    </w:p>
    <w:p w:rsidR="007A7047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33. Cadourile inadmisibile sunt transmise imediat de către beneficiar conducătorului entităţii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publice printr-un demers conform anexei nr.4. În cazul oferirii cadoului inadmisibil fără ştirea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beneficiarului, acesta este transmis imediat ce beneficiarul a cunoscut despre oferirea lui.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34. Cadoul inadmisibil recepţionat de la beneficiar este predat, printr-un demers, Centrului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Naţional Anticorupţie de către conducătorul entităţii publice, cu informarea Comisiei în termen de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3 zile lucrătoare de la momentul recepţionării acestuia.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35. Cadourile inadmisibile se înscriu într-un registru special, cu caracter public, ţinut manual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şi electronic, denumit Registru de evidenţă a cadourilor inadmisibile, conform anexei nr.5.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Procedura de înscriere în Registrul de evidenţă a cadourilor inadmisibile este similară celei pentru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înregistrarea cadourilor admisibile. Cadourile primite de către beneficiarii a căror identitate şi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calitate constituie secret de stat în condiţiile Legii nr.245/2008 cu privire la secretul de stat se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înregistrează într-un registru special, care nu este public.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36. Înscrierea în registru se efectuează imediat după întocmirea actului de predare–primire a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cadoului admisibil şi a demersului în privinţa cadoului inadmisibil, prin atribuirea unui număr de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înregistrare. Atribuirea numărului de înregistrare a cadoului în registru are loc în ordine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consecutivă.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37. Înregistrarea repetată a cadoului admisibil sau inadmisibil în registru se interzice.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38. Înscrierile în registre se efectuează astfel încât să fie exclusă posibilitatea radierii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(ştergerii, distrugerii) lor prin metode mecanice, chimice sau prin alte metode ori în orice alt mod,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fără a lăsa urme vizibile.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lastRenderedPageBreak/>
        <w:t>39. Înscrierile trebuie făcute citeţ, clar, fără prescurtări, pentru a evita interpretările echivoce.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Toate datele sunt scrise în formă completă, potrivit informaţiilor incluse în demers.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40. Fiecare înscriere în registre se certifică prin semnătura secretarului.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41. Concomitent cu emiterea deciziei specificate la pct.22 se face menţiunea în registrul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respectiv cu privire la acest fapt.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42. Entitatea publică este obligată să asigure păstrarea registrelor în arhiva proprie, în modul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stabilit de legislaţie.</w:t>
      </w:r>
    </w:p>
    <w:p w:rsidR="007A7047" w:rsidRDefault="007A7047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81E3C" w:rsidRPr="00381E3C" w:rsidRDefault="00381E3C" w:rsidP="007A704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IV. UTILIZAREA ŞI RĂSCUMPĂRAREA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CADOURILOR ADMISIBILE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43. În cazul adoptării deciziei prevăzute la pct.22 subpct.1), Comisia returnează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beneficiarului cadoul admisibil în termen de 3 zile lucrătoare, întocmind un act de returnare,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conform modelului stabilit în anexa nr.6.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44. În cazul adoptării deciziei prevăzute la pct.22 subpct.2), Comisia este obligată să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informeze beneficiarul în termen de o zi despre dreptul său de răscumpărare a cadoului admisibil,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dacă acesta achită contravaloarea cadoului admisibil, stabilită prin decizia Comisiei.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45. Plata contravalorii se face în termen de 30 de zile de la data aducerii la cunoştinţă a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deciziei prevăzute la pct.22 subpct.2), în contul bugetului entităţii publice.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46. După prezentarea dovezii de plată cadoul admisibil este returnat beneficiarului în termen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de 3 zile lucrătoare. Dispoziţiile pct.43 se aplică în mod corespunzător.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47. Dacă beneficiarul nu a prezentat dovada de plată a contravalorii în termenul specificat la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pct.45, Comisia ia decizia privind trecerea cadoului admisibil în proprietatea entităţii publice.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48. În cazul în care cadourile admisibile declarate de către beneficiar nu au atins valoarea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cumulativă de 1000 de lei, prevăzută pentru un an calendaristic, Comisia informează beneficiarul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despre posibilitatea răscumpărării cadoului admisibil oferit ulterior.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49. În cazul în care valoarea cadourilor admisibile declarate de către beneficiar a atins suma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cumulativă de 1000 de lei prevăzută pentru un an calendaristic, Comisia va informa beneficiarul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despre: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1) posibilitatea răscumpărării cadoului admisibil oferit ulterior, achitând contravaloarea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acestuia stabilită de Comisie;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2) posibilitatea refuzului de a răscumpăra cadoul admisibil oferit, cu transmiterea acestuia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în proprietatea entităţii publice.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50. În cazul adoptării deciziei prevăzute la pct.22 subpct.3), Comisia transmite cadoul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admisibil entităţii publice în termen de 30 de zile.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51. Cadourile admisibile trecute în proprietatea entităţii publice şi cele inadmisibile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transmise Centrului Naţional Anticorupţie, care prezintă valoare istorică, ştiinţifică, artistică sau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altă valoare culturală, precum şi obiectele de cult pot fi transmise cu titlu gratuit în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folosinţa/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 xml:space="preserve">proprietatea muzeelor,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lastRenderedPageBreak/>
        <w:t>bibliotecilor, instituţiilor, cu informarea Ministerului Educaţiei,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Culturii şi Cercetării. Odată cu transmiterea cadoului admisibil se face menţiunea respectivă în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registru, indicându-se data transmiterii.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52. În cazul în care cadoul admisibil menţionat la pct.51 prezintă valoare pentru entitatea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publică, acesta poate rămâne în proprietatea entităţii respective, cu informarea Ministerului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Educaţiei, Culturii şi Cercetării.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53. Anual Comisia inventariază cadourile admisibile aflate în proprietatea entităţii publice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şi propune conducătorului entităţii publice lista cadourilor admisibile ce pot fi înstrăinate sau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transmise cu titlu gratuit în scopuri de caritate. Conducătorul entităţii publice aprobă lista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respectivă.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54. Cadourile admisibile trecute în proprietatea entităţii publice şi cele inadmisibile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transmise Centrului Naţional Anticorupţie pot fi transmise cu titlu gratuit în scopuri de caritate.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55. Înstrăinarea cadourilor admisibile trecute în proprietatea entităţii publice şi a celor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inadmisibile transmise Centrului Naţional Anticorupţie se efectuează în conformitate cu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prevederile Regulamentului privind licitaţiile cu strigare şi cu reducere, aprobat prin Hotărârea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Guvernului nr.136/2009.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56. Mijloacele băneşti încasate din înstrăinarea cadourilor admisibile şi inadmisibile în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condiţiile pct.55 se transferă în contul bugetului entităţii publice.</w:t>
      </w:r>
    </w:p>
    <w:p w:rsidR="007A7047" w:rsidRDefault="007A7047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81E3C" w:rsidRPr="00381E3C" w:rsidRDefault="00381E3C" w:rsidP="007A704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V. PĂSTRAREA CADOURILOR ADMISIBILE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57. Entităţile publice creează condiţiile necesare pentru păstrarea cadourilor admisibile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trecute în proprietatea lor, rezervând încăperi sau spaţii adecvate pentru asigurarea integrităţii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acestora. În acest sens, entităţile publice pot dispune, după caz, crearea unui muzeu sau a unei săli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de expoziţie.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58. Conducătorul entităţii publice numeşte prin act administrativ persoana responsabilă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pentru păstrarea cadourilor admisibile trecute în proprietatea entităţii publice în încăperile şi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spaţiile destinate în acest scop.</w:t>
      </w:r>
    </w:p>
    <w:p w:rsidR="007A7047" w:rsidRDefault="007A7047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A7047" w:rsidRDefault="007A7047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A7047" w:rsidRDefault="007A7047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A7047" w:rsidRDefault="007A7047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A7047" w:rsidRDefault="007A7047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A7047" w:rsidRDefault="007A7047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A7047" w:rsidRDefault="007A7047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A7047" w:rsidRDefault="007A7047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A7047" w:rsidRDefault="007A7047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A7047" w:rsidRDefault="007A7047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A7047" w:rsidRDefault="007A7047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54016" w:rsidRDefault="00F54016" w:rsidP="00C137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381E3C" w:rsidRPr="00381E3C" w:rsidRDefault="00381E3C" w:rsidP="00C137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lastRenderedPageBreak/>
        <w:t>Anexa nr.</w:t>
      </w:r>
      <w:r w:rsidR="00C137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:rsidR="00381E3C" w:rsidRPr="00381E3C" w:rsidRDefault="00381E3C" w:rsidP="00C137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la Regulamentul cu privire la</w:t>
      </w:r>
    </w:p>
    <w:p w:rsidR="00381E3C" w:rsidRDefault="00381E3C" w:rsidP="00C137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regimul juridic al cadourilor</w:t>
      </w:r>
    </w:p>
    <w:p w:rsidR="00C13776" w:rsidRDefault="00C13776" w:rsidP="00C137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în cadrul S.A. „Drumuri Cahul”</w:t>
      </w:r>
    </w:p>
    <w:p w:rsidR="00C13776" w:rsidRDefault="00C13776" w:rsidP="00C137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C13776" w:rsidRDefault="00C13776" w:rsidP="00C137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C13776" w:rsidRPr="00381E3C" w:rsidRDefault="00C13776" w:rsidP="00C137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381E3C" w:rsidRPr="00381E3C" w:rsidRDefault="00381E3C" w:rsidP="007A704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DEMERS</w:t>
      </w:r>
    </w:p>
    <w:p w:rsidR="00381E3C" w:rsidRPr="00381E3C" w:rsidRDefault="00381E3C" w:rsidP="007A704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privind predarea cadoului admisibil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Subsemnatul/Subsemnata _____________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>_____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>_______________________________</w:t>
      </w:r>
    </w:p>
    <w:p w:rsidR="00381E3C" w:rsidRPr="00C13776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C13776">
        <w:rPr>
          <w:rFonts w:ascii="Times New Roman" w:hAnsi="Times New Roman" w:cs="Times New Roman"/>
          <w:sz w:val="20"/>
          <w:szCs w:val="20"/>
          <w:lang w:val="en-US"/>
        </w:rPr>
        <w:t>(numele, prenumele, funcţia deţinută şi subdiviziunea în cadrul căreia activează beneficiarul)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declar că acest cadou admisibil a fost oferit de către_______________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>_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________________________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</w:t>
      </w:r>
    </w:p>
    <w:p w:rsidR="005C3231" w:rsidRDefault="00381E3C" w:rsidP="007A7047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13776">
        <w:rPr>
          <w:rFonts w:ascii="Times New Roman" w:hAnsi="Times New Roman" w:cs="Times New Roman"/>
          <w:sz w:val="20"/>
          <w:szCs w:val="20"/>
          <w:lang w:val="en-US"/>
        </w:rPr>
        <w:t xml:space="preserve">(numele, prenumele persoanei/denumirea instituţiei care a oferit cadoul admisibil, datele de contact ale </w:t>
      </w:r>
      <w:r w:rsidR="005C3231" w:rsidRPr="00C13776">
        <w:rPr>
          <w:rFonts w:ascii="Times New Roman" w:hAnsi="Times New Roman" w:cs="Times New Roman"/>
          <w:sz w:val="20"/>
          <w:szCs w:val="20"/>
          <w:lang w:val="en-US"/>
        </w:rPr>
        <w:t>acesteia)</w:t>
      </w:r>
      <w:r w:rsidR="005C323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381E3C" w:rsidRPr="00381E3C" w:rsidRDefault="00381E3C" w:rsidP="007A704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în</w:t>
      </w:r>
      <w:r w:rsidR="007A7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contextul</w:t>
      </w:r>
      <w:r w:rsidR="00C137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</w:t>
      </w:r>
      <w:r w:rsidR="00C13776">
        <w:rPr>
          <w:rFonts w:ascii="Times New Roman" w:hAnsi="Times New Roman" w:cs="Times New Roman"/>
          <w:sz w:val="24"/>
          <w:szCs w:val="24"/>
          <w:lang w:val="en-US"/>
        </w:rPr>
        <w:t>_____________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______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Descrierea cadoului admisibil: ________________________</w:t>
      </w:r>
      <w:r w:rsidR="00C13776">
        <w:rPr>
          <w:rFonts w:ascii="Times New Roman" w:hAnsi="Times New Roman" w:cs="Times New Roman"/>
          <w:sz w:val="24"/>
          <w:szCs w:val="24"/>
          <w:lang w:val="en-US"/>
        </w:rPr>
        <w:t>_____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___________________________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Valoarea estimativă a cadoului admisibil (lei):</w:t>
      </w:r>
      <w:r w:rsidR="00C13776">
        <w:rPr>
          <w:rFonts w:ascii="Times New Roman" w:hAnsi="Times New Roman" w:cs="Times New Roman"/>
          <w:sz w:val="24"/>
          <w:szCs w:val="24"/>
          <w:lang w:val="en-US"/>
        </w:rPr>
        <w:t xml:space="preserve"> ____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_______________________________________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</w:t>
      </w:r>
    </w:p>
    <w:p w:rsidR="00381E3C" w:rsidRPr="00C13776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C13776">
        <w:rPr>
          <w:rFonts w:ascii="Times New Roman" w:hAnsi="Times New Roman" w:cs="Times New Roman"/>
          <w:sz w:val="20"/>
          <w:szCs w:val="20"/>
          <w:lang w:val="en-US"/>
        </w:rPr>
        <w:t>(se indică, după caz, solicitarea beneficiarului de a transmite cadoul admisibil în proprietatea entităţii publice)</w:t>
      </w:r>
    </w:p>
    <w:p w:rsidR="00C13776" w:rsidRDefault="00C13776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Data completării ________________________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Semnătura beneficiarului _________________</w:t>
      </w:r>
    </w:p>
    <w:p w:rsidR="00C13776" w:rsidRDefault="00C13776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13776" w:rsidRDefault="00C13776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13776" w:rsidRDefault="00C13776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13776" w:rsidRDefault="00C13776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13776" w:rsidRDefault="00C13776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13776" w:rsidRDefault="00C13776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13776" w:rsidRDefault="00C13776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81E3C" w:rsidRPr="00381E3C" w:rsidRDefault="00381E3C" w:rsidP="00C137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lastRenderedPageBreak/>
        <w:t>Anexa nr.</w:t>
      </w:r>
      <w:r w:rsidR="00C137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381E3C" w:rsidRPr="00381E3C" w:rsidRDefault="00381E3C" w:rsidP="00C137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la Regulamentul cu privire la</w:t>
      </w:r>
    </w:p>
    <w:p w:rsidR="00381E3C" w:rsidRDefault="00381E3C" w:rsidP="00C137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regimul juridic al cadourilor</w:t>
      </w:r>
    </w:p>
    <w:p w:rsidR="00C13776" w:rsidRDefault="00C13776" w:rsidP="00C137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în cadrul S.A. „Drumuri Cahul”</w:t>
      </w:r>
    </w:p>
    <w:p w:rsidR="00C13776" w:rsidRDefault="00C13776" w:rsidP="00C137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C13776" w:rsidRDefault="00C13776" w:rsidP="00C137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C13776" w:rsidRPr="00381E3C" w:rsidRDefault="00C13776" w:rsidP="00C137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381E3C" w:rsidRPr="00381E3C" w:rsidRDefault="00381E3C" w:rsidP="00C1377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ACT</w:t>
      </w:r>
    </w:p>
    <w:p w:rsidR="00381E3C" w:rsidRPr="00381E3C" w:rsidRDefault="00381E3C" w:rsidP="00C1377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de predare–primire a cadoului admisibil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 xml:space="preserve">____ ____________ 20___ </w:t>
      </w:r>
      <w:r w:rsidR="00C13776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nr</w:t>
      </w:r>
      <w:r w:rsidR="00C1377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_________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Prin prezentul act se ia la păstrare cadoul admisibil predat de către___</w:t>
      </w:r>
      <w:r w:rsidR="00C13776">
        <w:rPr>
          <w:rFonts w:ascii="Times New Roman" w:hAnsi="Times New Roman" w:cs="Times New Roman"/>
          <w:sz w:val="24"/>
          <w:szCs w:val="24"/>
          <w:lang w:val="en-US"/>
        </w:rPr>
        <w:t>______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__________________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________________________________________________________________________________,</w:t>
      </w:r>
    </w:p>
    <w:p w:rsidR="00381E3C" w:rsidRPr="00C13776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C13776">
        <w:rPr>
          <w:rFonts w:ascii="Times New Roman" w:hAnsi="Times New Roman" w:cs="Times New Roman"/>
          <w:sz w:val="20"/>
          <w:szCs w:val="20"/>
          <w:lang w:val="en-US"/>
        </w:rPr>
        <w:t>(numele, prenumele, funcţia deţinută de beneficiar)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în contextul _______________________________________________________________________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</w:t>
      </w:r>
      <w:r w:rsidR="00C13776">
        <w:rPr>
          <w:rFonts w:ascii="Times New Roman" w:hAnsi="Times New Roman" w:cs="Times New Roman"/>
          <w:sz w:val="24"/>
          <w:szCs w:val="24"/>
          <w:lang w:val="en-US"/>
        </w:rPr>
        <w:t>_______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Cadoul admisibil a fost predat împreună cu următoarele documente: _____________</w:t>
      </w:r>
      <w:r w:rsidR="00C13776">
        <w:rPr>
          <w:rFonts w:ascii="Times New Roman" w:hAnsi="Times New Roman" w:cs="Times New Roman"/>
          <w:sz w:val="24"/>
          <w:szCs w:val="24"/>
          <w:lang w:val="en-US"/>
        </w:rPr>
        <w:t>______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_______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</w:t>
      </w:r>
    </w:p>
    <w:p w:rsidR="00C13776" w:rsidRDefault="00C13776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A predat: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Numele, prenumele___________________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Semnătura _________________________</w:t>
      </w:r>
    </w:p>
    <w:p w:rsidR="00C13776" w:rsidRDefault="00C13776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A primit: secretarul Comisiei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Numele, prenumele _________________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Semnătura ________________________</w:t>
      </w:r>
    </w:p>
    <w:p w:rsidR="00C13776" w:rsidRDefault="00C13776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Actul de predare–primire a fost întocmit în 2 exemplare.</w:t>
      </w:r>
    </w:p>
    <w:p w:rsidR="00C13776" w:rsidRDefault="00C13776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13776" w:rsidRDefault="00C13776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13776" w:rsidRDefault="00C13776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13776" w:rsidRDefault="00C13776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13776" w:rsidRDefault="00C13776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54016" w:rsidRDefault="00F54016" w:rsidP="00F540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381E3C" w:rsidRPr="00381E3C" w:rsidRDefault="00381E3C" w:rsidP="00F540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lastRenderedPageBreak/>
        <w:t>Anexa nr.</w:t>
      </w:r>
      <w:r w:rsidR="00C137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:rsidR="00381E3C" w:rsidRPr="00381E3C" w:rsidRDefault="00381E3C" w:rsidP="00F540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la Regulamentul cu privire la</w:t>
      </w:r>
    </w:p>
    <w:p w:rsidR="00381E3C" w:rsidRPr="00381E3C" w:rsidRDefault="00381E3C" w:rsidP="00F540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regimul juridic al cadourilor</w:t>
      </w:r>
    </w:p>
    <w:p w:rsidR="00381E3C" w:rsidRPr="00381E3C" w:rsidRDefault="00C13776" w:rsidP="00F540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în cadrul S.A. „Drumuri Cahul”</w:t>
      </w:r>
    </w:p>
    <w:p w:rsidR="00381E3C" w:rsidRPr="00381E3C" w:rsidRDefault="00381E3C" w:rsidP="00C1377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REGISTRUL</w:t>
      </w:r>
    </w:p>
    <w:p w:rsidR="00381E3C" w:rsidRPr="00381E3C" w:rsidRDefault="00381E3C" w:rsidP="00C1377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de evidenţă a cadourilor admisibile nr</w:t>
      </w:r>
      <w:r w:rsidR="00C1377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_________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709"/>
        <w:gridCol w:w="992"/>
        <w:gridCol w:w="1134"/>
        <w:gridCol w:w="1276"/>
        <w:gridCol w:w="992"/>
        <w:gridCol w:w="993"/>
        <w:gridCol w:w="1275"/>
        <w:gridCol w:w="1838"/>
      </w:tblGrid>
      <w:tr w:rsidR="00985D56" w:rsidRPr="00F54016" w:rsidTr="00985D56">
        <w:tc>
          <w:tcPr>
            <w:tcW w:w="562" w:type="dxa"/>
          </w:tcPr>
          <w:p w:rsidR="00C13776" w:rsidRPr="00F54016" w:rsidRDefault="00C13776" w:rsidP="00985D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Nr.</w:t>
            </w:r>
          </w:p>
          <w:p w:rsidR="00C13776" w:rsidRPr="00F54016" w:rsidRDefault="00C13776" w:rsidP="00985D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</w:t>
            </w:r>
          </w:p>
          <w:p w:rsidR="00C13776" w:rsidRPr="00F54016" w:rsidRDefault="00C13776" w:rsidP="00985D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înregistrare</w:t>
            </w:r>
          </w:p>
        </w:tc>
        <w:tc>
          <w:tcPr>
            <w:tcW w:w="709" w:type="dxa"/>
          </w:tcPr>
          <w:p w:rsidR="00C13776" w:rsidRPr="00F54016" w:rsidRDefault="00C13776" w:rsidP="00985D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Data,</w:t>
            </w:r>
          </w:p>
          <w:p w:rsidR="00C13776" w:rsidRPr="00F54016" w:rsidRDefault="00C13776" w:rsidP="00985D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luna</w:t>
            </w:r>
          </w:p>
          <w:p w:rsidR="00C13776" w:rsidRPr="00F54016" w:rsidRDefault="00C13776" w:rsidP="00985D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şi</w:t>
            </w:r>
          </w:p>
          <w:p w:rsidR="00C13776" w:rsidRPr="00F54016" w:rsidRDefault="00C13776" w:rsidP="00985D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anul</w:t>
            </w:r>
          </w:p>
          <w:p w:rsidR="00C13776" w:rsidRPr="00F54016" w:rsidRDefault="00C13776" w:rsidP="00985D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predării</w:t>
            </w:r>
          </w:p>
        </w:tc>
        <w:tc>
          <w:tcPr>
            <w:tcW w:w="992" w:type="dxa"/>
          </w:tcPr>
          <w:p w:rsidR="00C13776" w:rsidRPr="00F54016" w:rsidRDefault="00C13776" w:rsidP="00985D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Numele,</w:t>
            </w:r>
          </w:p>
          <w:p w:rsidR="00C13776" w:rsidRPr="00F54016" w:rsidRDefault="00985D56" w:rsidP="00985D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="00C13776"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renumele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13776"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beneficiarului</w:t>
            </w:r>
          </w:p>
          <w:p w:rsidR="00C13776" w:rsidRPr="00F54016" w:rsidRDefault="00C13776" w:rsidP="00985D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cadoului</w:t>
            </w:r>
          </w:p>
          <w:p w:rsidR="00C13776" w:rsidRPr="00F54016" w:rsidRDefault="00C13776" w:rsidP="00985D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admisibil,</w:t>
            </w:r>
          </w:p>
          <w:p w:rsidR="00C13776" w:rsidRPr="00F54016" w:rsidRDefault="00C13776" w:rsidP="00985D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funcţia</w:t>
            </w:r>
          </w:p>
          <w:p w:rsidR="00C13776" w:rsidRPr="00F54016" w:rsidRDefault="00C13776" w:rsidP="00985D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deţinută</w:t>
            </w:r>
          </w:p>
        </w:tc>
        <w:tc>
          <w:tcPr>
            <w:tcW w:w="1134" w:type="dxa"/>
          </w:tcPr>
          <w:p w:rsidR="00C13776" w:rsidRPr="00F54016" w:rsidRDefault="00C13776" w:rsidP="00985D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Numele,</w:t>
            </w:r>
          </w:p>
          <w:p w:rsidR="00C13776" w:rsidRPr="00F54016" w:rsidRDefault="00C13776" w:rsidP="00985D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prenumele</w:t>
            </w:r>
          </w:p>
          <w:p w:rsidR="00C13776" w:rsidRPr="00F54016" w:rsidRDefault="00C13776" w:rsidP="00985D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persoanei/</w:t>
            </w:r>
          </w:p>
          <w:p w:rsidR="00C13776" w:rsidRPr="00F54016" w:rsidRDefault="00C13776" w:rsidP="00985D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denumirea</w:t>
            </w:r>
          </w:p>
          <w:p w:rsidR="00C13776" w:rsidRPr="00F54016" w:rsidRDefault="00C13776" w:rsidP="00985D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instituţiei</w:t>
            </w:r>
          </w:p>
          <w:p w:rsidR="00C13776" w:rsidRPr="00F54016" w:rsidRDefault="00C13776" w:rsidP="00985D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care a</w:t>
            </w:r>
          </w:p>
          <w:p w:rsidR="00F54016" w:rsidRPr="00F54016" w:rsidRDefault="00C13776" w:rsidP="00985D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oferit</w:t>
            </w:r>
            <w:r w:rsidR="00F54016"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cadoul</w:t>
            </w:r>
          </w:p>
          <w:p w:rsidR="00F54016" w:rsidRPr="00F54016" w:rsidRDefault="00F54016" w:rsidP="00985D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admisibil</w:t>
            </w:r>
          </w:p>
          <w:p w:rsidR="00C13776" w:rsidRPr="00F54016" w:rsidRDefault="00C13776" w:rsidP="00985D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13776" w:rsidRPr="00F54016" w:rsidRDefault="00C13776" w:rsidP="00985D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Descrierea</w:t>
            </w:r>
          </w:p>
          <w:p w:rsidR="00C13776" w:rsidRPr="00F54016" w:rsidRDefault="00C13776" w:rsidP="00985D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relaţiei</w:t>
            </w:r>
          </w:p>
          <w:p w:rsidR="00C13776" w:rsidRPr="00F54016" w:rsidRDefault="00C13776" w:rsidP="00985D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(personală,</w:t>
            </w:r>
          </w:p>
          <w:p w:rsidR="00C13776" w:rsidRPr="00F54016" w:rsidRDefault="00C13776" w:rsidP="00985D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profesională) dintre</w:t>
            </w:r>
          </w:p>
          <w:p w:rsidR="00C13776" w:rsidRPr="00F54016" w:rsidRDefault="00C13776" w:rsidP="00985D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 şi</w:t>
            </w:r>
          </w:p>
          <w:p w:rsidR="00C13776" w:rsidRPr="00F54016" w:rsidRDefault="00C13776" w:rsidP="00985D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persoana/</w:t>
            </w:r>
          </w:p>
          <w:p w:rsidR="00F54016" w:rsidRPr="00F54016" w:rsidRDefault="00C13776" w:rsidP="00985D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instituţia</w:t>
            </w:r>
            <w:r w:rsidR="00F54016"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(denumirea)</w:t>
            </w:r>
            <w:r w:rsidR="00985D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54016"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care a oferit</w:t>
            </w:r>
          </w:p>
          <w:p w:rsidR="00F54016" w:rsidRPr="00F54016" w:rsidRDefault="00F54016" w:rsidP="00985D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cadoul</w:t>
            </w:r>
          </w:p>
          <w:p w:rsidR="00F54016" w:rsidRPr="00F54016" w:rsidRDefault="00F54016" w:rsidP="00985D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admisibil</w:t>
            </w:r>
          </w:p>
          <w:p w:rsidR="00C13776" w:rsidRPr="00F54016" w:rsidRDefault="00C13776" w:rsidP="00985D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C13776" w:rsidRPr="00F54016" w:rsidRDefault="00C13776" w:rsidP="00985D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Descrierea</w:t>
            </w:r>
          </w:p>
          <w:p w:rsidR="00C13776" w:rsidRPr="00F54016" w:rsidRDefault="00C13776" w:rsidP="00985D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împrejurărilor</w:t>
            </w:r>
          </w:p>
          <w:p w:rsidR="00C13776" w:rsidRPr="00F54016" w:rsidRDefault="00C13776" w:rsidP="00985D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 care</w:t>
            </w:r>
          </w:p>
          <w:p w:rsidR="00C13776" w:rsidRPr="00F54016" w:rsidRDefault="00C13776" w:rsidP="00985D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fost</w:t>
            </w:r>
          </w:p>
          <w:p w:rsidR="00C13776" w:rsidRPr="00F54016" w:rsidRDefault="00C13776" w:rsidP="00985D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primit</w:t>
            </w:r>
          </w:p>
          <w:p w:rsidR="00F54016" w:rsidRPr="00F54016" w:rsidRDefault="00F54016" w:rsidP="00985D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cadoul</w:t>
            </w:r>
          </w:p>
          <w:p w:rsidR="00F54016" w:rsidRPr="00F54016" w:rsidRDefault="00F54016" w:rsidP="00985D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admisibil</w:t>
            </w:r>
          </w:p>
          <w:p w:rsidR="00C13776" w:rsidRPr="00F54016" w:rsidRDefault="00C13776" w:rsidP="00985D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C13776" w:rsidRPr="00F54016" w:rsidRDefault="00C13776" w:rsidP="00985D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Valoarea de</w:t>
            </w:r>
          </w:p>
          <w:p w:rsidR="00C13776" w:rsidRPr="00F54016" w:rsidRDefault="00C13776" w:rsidP="00985D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piaţă a</w:t>
            </w:r>
          </w:p>
          <w:p w:rsidR="00C13776" w:rsidRPr="00F54016" w:rsidRDefault="00C13776" w:rsidP="00985D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cadoului</w:t>
            </w:r>
          </w:p>
          <w:p w:rsidR="00C13776" w:rsidRPr="00F54016" w:rsidRDefault="00C13776" w:rsidP="00985D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admisibil</w:t>
            </w:r>
          </w:p>
          <w:p w:rsidR="00C13776" w:rsidRPr="00F54016" w:rsidRDefault="00C13776" w:rsidP="00985D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(lei)</w:t>
            </w:r>
          </w:p>
          <w:p w:rsidR="00C13776" w:rsidRPr="00F54016" w:rsidRDefault="00C13776" w:rsidP="00985D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C13776" w:rsidRPr="00F54016" w:rsidRDefault="00C13776" w:rsidP="00985D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Decizia</w:t>
            </w:r>
          </w:p>
          <w:p w:rsidR="00C13776" w:rsidRPr="00F54016" w:rsidRDefault="00C13776" w:rsidP="00985D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luată în</w:t>
            </w:r>
          </w:p>
          <w:p w:rsidR="00C13776" w:rsidRPr="00F54016" w:rsidRDefault="00C13776" w:rsidP="00985D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raport cu</w:t>
            </w:r>
          </w:p>
          <w:p w:rsidR="00C13776" w:rsidRPr="00F54016" w:rsidRDefault="00C13776" w:rsidP="00985D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cadoul</w:t>
            </w:r>
          </w:p>
          <w:p w:rsidR="00C13776" w:rsidRPr="00F54016" w:rsidRDefault="00C13776" w:rsidP="00985D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admisibil</w:t>
            </w:r>
          </w:p>
          <w:p w:rsidR="00C13776" w:rsidRPr="00F54016" w:rsidRDefault="00C13776" w:rsidP="00985D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(se indică</w:t>
            </w:r>
            <w:r w:rsidR="00985D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una dintre</w:t>
            </w:r>
          </w:p>
          <w:p w:rsidR="00F54016" w:rsidRPr="00F54016" w:rsidRDefault="00985D56" w:rsidP="00985D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cele </w:t>
            </w:r>
            <w:r w:rsidR="00C13776"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trei</w:t>
            </w:r>
            <w:r w:rsidR="00F54016"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decizii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54016"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luate de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54016"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Comisie</w:t>
            </w:r>
            <w:r w:rsidR="00F54016" w:rsidRPr="00985D5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</w:t>
            </w:r>
            <w:r w:rsidR="00F54016"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F54016" w:rsidRPr="00F54016" w:rsidRDefault="00F54016" w:rsidP="00985D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precum şi</w:t>
            </w:r>
          </w:p>
          <w:p w:rsidR="00F54016" w:rsidRPr="00F54016" w:rsidRDefault="00F54016" w:rsidP="00985D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numărul</w:t>
            </w:r>
          </w:p>
          <w:p w:rsidR="00F54016" w:rsidRPr="00F54016" w:rsidRDefault="00F54016" w:rsidP="00985D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şi data</w:t>
            </w:r>
          </w:p>
          <w:p w:rsidR="00F54016" w:rsidRPr="00F54016" w:rsidRDefault="00F54016" w:rsidP="00985D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procesului</w:t>
            </w:r>
            <w:r w:rsidR="00985D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verbal)</w:t>
            </w:r>
          </w:p>
          <w:p w:rsidR="00C13776" w:rsidRPr="00F54016" w:rsidRDefault="00C13776" w:rsidP="00985D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38" w:type="dxa"/>
          </w:tcPr>
          <w:p w:rsidR="00C13776" w:rsidRPr="00F54016" w:rsidRDefault="00C13776" w:rsidP="00985D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Soarta cadoului</w:t>
            </w:r>
          </w:p>
          <w:p w:rsidR="00C13776" w:rsidRPr="00F54016" w:rsidRDefault="00C13776" w:rsidP="00985D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admisibil (se indică,</w:t>
            </w:r>
          </w:p>
          <w:p w:rsidR="00C13776" w:rsidRPr="00F54016" w:rsidRDefault="00C13776" w:rsidP="00985D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după</w:t>
            </w:r>
            <w:r w:rsidR="00985D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caz, returnat</w:t>
            </w:r>
          </w:p>
          <w:p w:rsidR="00C13776" w:rsidRPr="00F54016" w:rsidRDefault="00C13776" w:rsidP="00985D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beneficiarului,</w:t>
            </w:r>
          </w:p>
          <w:p w:rsidR="00C13776" w:rsidRPr="00F54016" w:rsidRDefault="00C13776" w:rsidP="00985D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returnat</w:t>
            </w:r>
            <w:r w:rsidR="00985D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beneficiarului</w:t>
            </w:r>
          </w:p>
          <w:p w:rsidR="00F54016" w:rsidRPr="00F54016" w:rsidRDefault="00C13776" w:rsidP="00985D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 urmare a</w:t>
            </w:r>
            <w:r w:rsidR="00985D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54016"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răscumpărării</w:t>
            </w:r>
            <w:r w:rsidR="00985D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54016"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sau trecut în</w:t>
            </w:r>
            <w:r w:rsidR="00985D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54016"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proprietatea</w:t>
            </w:r>
            <w:r w:rsidR="00985D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54016"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entităţii</w:t>
            </w:r>
          </w:p>
          <w:p w:rsidR="00F54016" w:rsidRPr="00F54016" w:rsidRDefault="00F54016" w:rsidP="00985D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publice</w:t>
            </w:r>
            <w:r w:rsidRPr="00985D5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</w:t>
            </w:r>
            <w:r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="00985D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54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şi data</w:t>
            </w:r>
          </w:p>
          <w:p w:rsidR="00C13776" w:rsidRPr="00F54016" w:rsidRDefault="00C13776" w:rsidP="00985D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85D56" w:rsidRPr="00F54016" w:rsidTr="00985D56">
        <w:tc>
          <w:tcPr>
            <w:tcW w:w="562" w:type="dxa"/>
          </w:tcPr>
          <w:p w:rsidR="00C13776" w:rsidRPr="00F54016" w:rsidRDefault="00C13776" w:rsidP="00F540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C13776" w:rsidRPr="00F54016" w:rsidRDefault="00C13776" w:rsidP="00F540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C13776" w:rsidRPr="00F54016" w:rsidRDefault="00C13776" w:rsidP="00F540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C13776" w:rsidRPr="00F54016" w:rsidRDefault="00C13776" w:rsidP="00F540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13776" w:rsidRPr="00F54016" w:rsidRDefault="00C13776" w:rsidP="00F540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C13776" w:rsidRPr="00F54016" w:rsidRDefault="00C13776" w:rsidP="00F540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C13776" w:rsidRPr="00F54016" w:rsidRDefault="00C13776" w:rsidP="00F540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C13776" w:rsidRPr="00F54016" w:rsidRDefault="00C13776" w:rsidP="00F540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38" w:type="dxa"/>
          </w:tcPr>
          <w:p w:rsidR="00C13776" w:rsidRPr="00F54016" w:rsidRDefault="00C13776" w:rsidP="00F540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85D56" w:rsidRPr="00F54016" w:rsidTr="00985D56">
        <w:tc>
          <w:tcPr>
            <w:tcW w:w="562" w:type="dxa"/>
          </w:tcPr>
          <w:p w:rsidR="00C13776" w:rsidRPr="00F54016" w:rsidRDefault="00C13776" w:rsidP="00F540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C13776" w:rsidRPr="00F54016" w:rsidRDefault="00C13776" w:rsidP="00F540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C13776" w:rsidRPr="00F54016" w:rsidRDefault="00C13776" w:rsidP="00F540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C13776" w:rsidRPr="00F54016" w:rsidRDefault="00C13776" w:rsidP="00F540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13776" w:rsidRPr="00F54016" w:rsidRDefault="00C13776" w:rsidP="00F540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C13776" w:rsidRPr="00F54016" w:rsidRDefault="00C13776" w:rsidP="00F540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C13776" w:rsidRPr="00F54016" w:rsidRDefault="00C13776" w:rsidP="00F540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C13776" w:rsidRPr="00F54016" w:rsidRDefault="00C13776" w:rsidP="00F540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38" w:type="dxa"/>
          </w:tcPr>
          <w:p w:rsidR="00C13776" w:rsidRPr="00F54016" w:rsidRDefault="00C13776" w:rsidP="00F540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985D56" w:rsidRDefault="00985D56" w:rsidP="00985D5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381E3C" w:rsidRDefault="00381E3C" w:rsidP="00985D5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54016">
        <w:rPr>
          <w:rFonts w:ascii="Times New Roman" w:hAnsi="Times New Roman" w:cs="Times New Roman"/>
          <w:sz w:val="20"/>
          <w:szCs w:val="20"/>
          <w:lang w:val="en-US"/>
        </w:rPr>
        <w:t>1</w:t>
      </w:r>
      <w:r w:rsidR="00F54016" w:rsidRPr="00F5401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54016">
        <w:rPr>
          <w:rFonts w:ascii="Times New Roman" w:hAnsi="Times New Roman" w:cs="Times New Roman"/>
          <w:sz w:val="20"/>
          <w:szCs w:val="20"/>
          <w:lang w:val="en-US"/>
        </w:rPr>
        <w:t>În situaţia în care la început a fost adoptată decizia prevăzută la pct.</w:t>
      </w:r>
      <w:r w:rsidR="00F5401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54016">
        <w:rPr>
          <w:rFonts w:ascii="Times New Roman" w:hAnsi="Times New Roman" w:cs="Times New Roman"/>
          <w:sz w:val="20"/>
          <w:szCs w:val="20"/>
          <w:lang w:val="en-US"/>
        </w:rPr>
        <w:t>22 subpct.</w:t>
      </w:r>
      <w:r w:rsidR="00F5401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54016">
        <w:rPr>
          <w:rFonts w:ascii="Times New Roman" w:hAnsi="Times New Roman" w:cs="Times New Roman"/>
          <w:sz w:val="20"/>
          <w:szCs w:val="20"/>
          <w:lang w:val="en-US"/>
        </w:rPr>
        <w:t>3), iar ulterior, întrucât</w:t>
      </w:r>
      <w:r w:rsidR="00F5401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54016">
        <w:rPr>
          <w:rFonts w:ascii="Times New Roman" w:hAnsi="Times New Roman" w:cs="Times New Roman"/>
          <w:sz w:val="20"/>
          <w:szCs w:val="20"/>
          <w:lang w:val="en-US"/>
        </w:rPr>
        <w:t>beneficiarul nu a prezentat dovada de plată a diferenţei, a fost adoptată decizia prevăzută la pct.</w:t>
      </w:r>
      <w:r w:rsidR="00F5401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54016">
        <w:rPr>
          <w:rFonts w:ascii="Times New Roman" w:hAnsi="Times New Roman" w:cs="Times New Roman"/>
          <w:sz w:val="20"/>
          <w:szCs w:val="20"/>
          <w:lang w:val="en-US"/>
        </w:rPr>
        <w:t>22 subpct.</w:t>
      </w:r>
      <w:r w:rsidR="00F5401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54016">
        <w:rPr>
          <w:rFonts w:ascii="Times New Roman" w:hAnsi="Times New Roman" w:cs="Times New Roman"/>
          <w:sz w:val="20"/>
          <w:szCs w:val="20"/>
          <w:lang w:val="en-US"/>
        </w:rPr>
        <w:t>2), se indică</w:t>
      </w:r>
      <w:r w:rsidR="00F5401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54016">
        <w:rPr>
          <w:rFonts w:ascii="Times New Roman" w:hAnsi="Times New Roman" w:cs="Times New Roman"/>
          <w:sz w:val="20"/>
          <w:szCs w:val="20"/>
          <w:lang w:val="en-US"/>
        </w:rPr>
        <w:t>ambele decizii, separate prin bară.</w:t>
      </w:r>
    </w:p>
    <w:p w:rsidR="00985D56" w:rsidRPr="00F54016" w:rsidRDefault="00985D56" w:rsidP="00985D5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381E3C" w:rsidRPr="00F54016" w:rsidRDefault="00381E3C" w:rsidP="00985D5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54016">
        <w:rPr>
          <w:rFonts w:ascii="Times New Roman" w:hAnsi="Times New Roman" w:cs="Times New Roman"/>
          <w:sz w:val="20"/>
          <w:szCs w:val="20"/>
          <w:lang w:val="en-US"/>
        </w:rPr>
        <w:t>2 Dacă după trecerea cadoului în proprietatea entităţii publice, aceasta decide transmiterea lui către muzeu,</w:t>
      </w:r>
      <w:r w:rsidR="00F5401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54016">
        <w:rPr>
          <w:rFonts w:ascii="Times New Roman" w:hAnsi="Times New Roman" w:cs="Times New Roman"/>
          <w:sz w:val="20"/>
          <w:szCs w:val="20"/>
          <w:lang w:val="en-US"/>
        </w:rPr>
        <w:t>bibliotecă, instituţie, transmiterea gratuită în scopuri de caritate sau înstrăinarea, acest fapt, de asemenea, se indică.</w:t>
      </w:r>
    </w:p>
    <w:p w:rsidR="00F54016" w:rsidRDefault="00F54016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54016" w:rsidRDefault="00F54016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54016" w:rsidRDefault="00F54016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54016" w:rsidRDefault="00F54016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54016" w:rsidRDefault="00F54016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54016" w:rsidRDefault="00F54016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54016" w:rsidRDefault="00F54016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54016" w:rsidRDefault="00F54016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54016" w:rsidRDefault="00F54016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54016" w:rsidRDefault="00F54016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54016" w:rsidRDefault="00F54016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54016" w:rsidRDefault="00F54016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54016" w:rsidRDefault="00F54016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54016" w:rsidRDefault="00F54016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54016" w:rsidRDefault="00F54016" w:rsidP="00F5401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985D56" w:rsidRDefault="00985D56" w:rsidP="00F540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985D56" w:rsidRDefault="00985D56" w:rsidP="00F540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381E3C" w:rsidRPr="00381E3C" w:rsidRDefault="00381E3C" w:rsidP="00F540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lastRenderedPageBreak/>
        <w:t>Anexa nr.</w:t>
      </w:r>
      <w:r w:rsidR="00985D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:rsidR="00381E3C" w:rsidRPr="00381E3C" w:rsidRDefault="00381E3C" w:rsidP="00F540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la Regulamentul cu privire la</w:t>
      </w:r>
    </w:p>
    <w:p w:rsidR="00381E3C" w:rsidRDefault="00381E3C" w:rsidP="00F540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regimul juridic al cadourilor</w:t>
      </w:r>
    </w:p>
    <w:p w:rsidR="00F54016" w:rsidRPr="00381E3C" w:rsidRDefault="00F54016" w:rsidP="00F540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în cadrul S.A. „Drumuri Cahul”</w:t>
      </w:r>
    </w:p>
    <w:p w:rsidR="00F54016" w:rsidRDefault="00F54016" w:rsidP="00F5401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</w:t>
      </w:r>
    </w:p>
    <w:p w:rsidR="00F54016" w:rsidRPr="00F54016" w:rsidRDefault="00F54016" w:rsidP="00F54016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F54016">
        <w:rPr>
          <w:rFonts w:ascii="Times New Roman" w:hAnsi="Times New Roman" w:cs="Times New Roman"/>
          <w:sz w:val="20"/>
          <w:szCs w:val="20"/>
          <w:lang w:val="en-US"/>
        </w:rPr>
        <w:t xml:space="preserve">viza </w:t>
      </w:r>
      <w:r w:rsidR="00381E3C" w:rsidRPr="00F54016">
        <w:rPr>
          <w:rFonts w:ascii="Times New Roman" w:hAnsi="Times New Roman" w:cs="Times New Roman"/>
          <w:sz w:val="20"/>
          <w:szCs w:val="20"/>
          <w:lang w:val="en-US"/>
        </w:rPr>
        <w:t>conducătorului entităţii publice</w:t>
      </w:r>
      <w:r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381E3C" w:rsidRPr="00381E3C" w:rsidRDefault="00381E3C" w:rsidP="00F5401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DEMERS</w:t>
      </w:r>
    </w:p>
    <w:p w:rsidR="00381E3C" w:rsidRPr="00381E3C" w:rsidRDefault="00381E3C" w:rsidP="00F5401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privind predarea cadoului inadmisibil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Subsemnatul/Subsemnata ___________________________________________</w:t>
      </w:r>
      <w:r w:rsidR="00F54016">
        <w:rPr>
          <w:rFonts w:ascii="Times New Roman" w:hAnsi="Times New Roman" w:cs="Times New Roman"/>
          <w:sz w:val="24"/>
          <w:szCs w:val="24"/>
          <w:lang w:val="en-US"/>
        </w:rPr>
        <w:t>_____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____________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</w:t>
      </w:r>
    </w:p>
    <w:p w:rsidR="00381E3C" w:rsidRPr="00F54016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54016">
        <w:rPr>
          <w:rFonts w:ascii="Times New Roman" w:hAnsi="Times New Roman" w:cs="Times New Roman"/>
          <w:sz w:val="20"/>
          <w:szCs w:val="20"/>
          <w:lang w:val="en-US"/>
        </w:rPr>
        <w:t>(numele, prenumele, funcţia deţinută şi subdiviziunea în cadrul căreia activează beneficiarul)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declar că acest cadou inadmisibil a fost oferit de __________</w:t>
      </w:r>
      <w:r w:rsidR="00F54016">
        <w:rPr>
          <w:rFonts w:ascii="Times New Roman" w:hAnsi="Times New Roman" w:cs="Times New Roman"/>
          <w:sz w:val="24"/>
          <w:szCs w:val="24"/>
          <w:lang w:val="en-US"/>
        </w:rPr>
        <w:t>_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_______________________________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</w:t>
      </w:r>
    </w:p>
    <w:p w:rsidR="00381E3C" w:rsidRPr="00F54016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54016">
        <w:rPr>
          <w:rFonts w:ascii="Times New Roman" w:hAnsi="Times New Roman" w:cs="Times New Roman"/>
          <w:sz w:val="20"/>
          <w:szCs w:val="20"/>
          <w:lang w:val="en-US"/>
        </w:rPr>
        <w:t>(numele, prenumele persoanei/denumirea instituţiei care a oferit cadoul inadmisibil, datele de contact ale acesteia)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în contextul _______________________________________________________________________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</w:t>
      </w:r>
      <w:r w:rsidR="00F54016">
        <w:rPr>
          <w:rFonts w:ascii="Times New Roman" w:hAnsi="Times New Roman" w:cs="Times New Roman"/>
          <w:sz w:val="24"/>
          <w:szCs w:val="24"/>
          <w:lang w:val="en-US"/>
        </w:rPr>
        <w:t>_____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Descrierea cadoului inadmisibil: _________________________________________________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</w:t>
      </w:r>
    </w:p>
    <w:p w:rsidR="00381E3C" w:rsidRPr="00F54016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54016">
        <w:rPr>
          <w:rFonts w:ascii="Times New Roman" w:hAnsi="Times New Roman" w:cs="Times New Roman"/>
          <w:sz w:val="20"/>
          <w:szCs w:val="20"/>
          <w:lang w:val="en-US"/>
        </w:rPr>
        <w:t>(se indică, după caz, solicitarea beneficiarului de a transmite cadoul inadmisibil în proprietatea entităţii publice)</w:t>
      </w:r>
    </w:p>
    <w:p w:rsidR="00F54016" w:rsidRDefault="00F54016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54016" w:rsidRDefault="00F54016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Data completării ________________________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Semnătura beneficiarului __________________</w:t>
      </w:r>
    </w:p>
    <w:p w:rsidR="00F54016" w:rsidRDefault="00F54016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54016" w:rsidRDefault="00F54016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54016" w:rsidRDefault="00F54016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54016" w:rsidRDefault="00F54016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54016" w:rsidRDefault="00F54016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54016" w:rsidRDefault="00F54016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81E3C" w:rsidRPr="00381E3C" w:rsidRDefault="00381E3C" w:rsidP="00F540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lastRenderedPageBreak/>
        <w:t>Anexa nr.</w:t>
      </w:r>
      <w:r w:rsidR="00985D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:rsidR="00381E3C" w:rsidRPr="00381E3C" w:rsidRDefault="00381E3C" w:rsidP="00F540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la Regulamentul cu privire la</w:t>
      </w:r>
    </w:p>
    <w:p w:rsidR="00381E3C" w:rsidRPr="00381E3C" w:rsidRDefault="00381E3C" w:rsidP="00F540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regimul juridic al cadourilor</w:t>
      </w:r>
    </w:p>
    <w:p w:rsidR="00381E3C" w:rsidRPr="00381E3C" w:rsidRDefault="00985D56" w:rsidP="00F540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în cadrul S.A. „Drumuri Cahul”</w:t>
      </w:r>
    </w:p>
    <w:p w:rsidR="00381E3C" w:rsidRDefault="00381E3C" w:rsidP="00F540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985D56" w:rsidRDefault="00985D56" w:rsidP="00F540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985D56" w:rsidRPr="00381E3C" w:rsidRDefault="00985D56" w:rsidP="00F540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381E3C" w:rsidRPr="00381E3C" w:rsidRDefault="00381E3C" w:rsidP="00985D5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REGISTRUL</w:t>
      </w:r>
    </w:p>
    <w:p w:rsidR="00381E3C" w:rsidRDefault="00381E3C" w:rsidP="00985D5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de evidenţă a cadourilor inadmisibile nr</w:t>
      </w:r>
      <w:r w:rsidR="00985D5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___________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5"/>
        <w:gridCol w:w="701"/>
        <w:gridCol w:w="993"/>
        <w:gridCol w:w="1446"/>
        <w:gridCol w:w="1592"/>
        <w:gridCol w:w="1114"/>
        <w:gridCol w:w="936"/>
        <w:gridCol w:w="1025"/>
        <w:gridCol w:w="969"/>
      </w:tblGrid>
      <w:tr w:rsidR="007F16A8" w:rsidRPr="0006636D" w:rsidTr="007F16A8">
        <w:trPr>
          <w:jc w:val="center"/>
        </w:trPr>
        <w:tc>
          <w:tcPr>
            <w:tcW w:w="995" w:type="dxa"/>
          </w:tcPr>
          <w:p w:rsidR="0006636D" w:rsidRPr="0006636D" w:rsidRDefault="0006636D" w:rsidP="000663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63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Nr.</w:t>
            </w:r>
          </w:p>
          <w:p w:rsidR="0006636D" w:rsidRPr="0006636D" w:rsidRDefault="0006636D" w:rsidP="000663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63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</w:t>
            </w:r>
          </w:p>
          <w:p w:rsidR="0006636D" w:rsidRPr="0006636D" w:rsidRDefault="0006636D" w:rsidP="000663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63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înregistrare</w:t>
            </w:r>
          </w:p>
          <w:p w:rsidR="0006636D" w:rsidRPr="0006636D" w:rsidRDefault="0006636D" w:rsidP="000663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1" w:type="dxa"/>
          </w:tcPr>
          <w:p w:rsidR="0006636D" w:rsidRPr="0006636D" w:rsidRDefault="0006636D" w:rsidP="000663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63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Data, luna şi</w:t>
            </w:r>
          </w:p>
          <w:p w:rsidR="0006636D" w:rsidRPr="0006636D" w:rsidRDefault="0006636D" w:rsidP="000663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63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anul</w:t>
            </w:r>
          </w:p>
          <w:p w:rsidR="0006636D" w:rsidRPr="0006636D" w:rsidRDefault="0006636D" w:rsidP="000663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63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predării</w:t>
            </w:r>
          </w:p>
          <w:p w:rsidR="0006636D" w:rsidRPr="0006636D" w:rsidRDefault="0006636D" w:rsidP="000663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63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cadoului inadmisibil</w:t>
            </w:r>
          </w:p>
          <w:p w:rsidR="0006636D" w:rsidRPr="0006636D" w:rsidRDefault="0006636D" w:rsidP="000663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06636D" w:rsidRPr="0006636D" w:rsidRDefault="0006636D" w:rsidP="000663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63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Numele,</w:t>
            </w:r>
          </w:p>
          <w:p w:rsidR="0006636D" w:rsidRPr="0006636D" w:rsidRDefault="0006636D" w:rsidP="000663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63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prenumele</w:t>
            </w:r>
          </w:p>
          <w:p w:rsidR="0006636D" w:rsidRPr="0006636D" w:rsidRDefault="0006636D" w:rsidP="000663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63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beneficiarului</w:t>
            </w:r>
          </w:p>
          <w:p w:rsidR="0006636D" w:rsidRPr="0006636D" w:rsidRDefault="0006636D" w:rsidP="000663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63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cadoului</w:t>
            </w:r>
          </w:p>
          <w:p w:rsidR="0006636D" w:rsidRPr="0006636D" w:rsidRDefault="0006636D" w:rsidP="000663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63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inamisibil,</w:t>
            </w:r>
          </w:p>
          <w:p w:rsidR="0006636D" w:rsidRPr="0006636D" w:rsidRDefault="0006636D" w:rsidP="000663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63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funcţia</w:t>
            </w:r>
          </w:p>
          <w:p w:rsidR="0006636D" w:rsidRPr="0006636D" w:rsidRDefault="0006636D" w:rsidP="000663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63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deţinută</w:t>
            </w:r>
          </w:p>
          <w:p w:rsidR="0006636D" w:rsidRPr="0006636D" w:rsidRDefault="0006636D" w:rsidP="000663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</w:tcPr>
          <w:p w:rsidR="0006636D" w:rsidRPr="0006636D" w:rsidRDefault="0006636D" w:rsidP="000663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63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Numele,</w:t>
            </w:r>
          </w:p>
          <w:p w:rsidR="0006636D" w:rsidRPr="0006636D" w:rsidRDefault="0006636D" w:rsidP="000663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63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prenumele</w:t>
            </w:r>
          </w:p>
          <w:p w:rsidR="0006636D" w:rsidRPr="0006636D" w:rsidRDefault="0006636D" w:rsidP="000663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63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persoanei/</w:t>
            </w:r>
          </w:p>
          <w:p w:rsidR="0006636D" w:rsidRPr="0006636D" w:rsidRDefault="0006636D" w:rsidP="000663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63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denumirea</w:t>
            </w:r>
          </w:p>
          <w:p w:rsidR="0006636D" w:rsidRPr="0006636D" w:rsidRDefault="0006636D" w:rsidP="000663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63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instituţiei</w:t>
            </w:r>
            <w:r w:rsidR="007F16A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63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care a</w:t>
            </w:r>
          </w:p>
          <w:p w:rsidR="0006636D" w:rsidRPr="0006636D" w:rsidRDefault="0006636D" w:rsidP="000663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63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oferit</w:t>
            </w:r>
            <w:r w:rsidR="007F16A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63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cadoul</w:t>
            </w:r>
          </w:p>
          <w:p w:rsidR="0006636D" w:rsidRPr="0006636D" w:rsidRDefault="0006636D" w:rsidP="000663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63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inadmisibil</w:t>
            </w:r>
            <w:r w:rsidR="007F16A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63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(dacă se</w:t>
            </w:r>
            <w:r w:rsidR="007F16A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63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cunoaşte)</w:t>
            </w:r>
          </w:p>
          <w:p w:rsidR="0006636D" w:rsidRPr="0006636D" w:rsidRDefault="0006636D" w:rsidP="000663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</w:tcPr>
          <w:p w:rsidR="0006636D" w:rsidRPr="0006636D" w:rsidRDefault="0006636D" w:rsidP="000663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63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Descrierea</w:t>
            </w:r>
            <w:r w:rsidR="007F16A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63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relaţiei</w:t>
            </w:r>
          </w:p>
          <w:p w:rsidR="0006636D" w:rsidRPr="0006636D" w:rsidRDefault="0006636D" w:rsidP="000663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63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(personală,</w:t>
            </w:r>
            <w:r w:rsidR="007F16A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63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profesională) dintre</w:t>
            </w:r>
            <w:r w:rsidR="007F16A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63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beneficiar şi</w:t>
            </w:r>
            <w:r w:rsidR="007F16A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63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persoana/</w:t>
            </w:r>
            <w:r w:rsidR="007F16A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63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instituţia</w:t>
            </w:r>
          </w:p>
          <w:p w:rsidR="0006636D" w:rsidRPr="0006636D" w:rsidRDefault="0006636D" w:rsidP="000663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63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(denumirea)</w:t>
            </w:r>
            <w:r w:rsidR="007F16A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63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care a oferit cadoul</w:t>
            </w:r>
            <w:r w:rsidR="007F16A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63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inadmisibil</w:t>
            </w:r>
            <w:r w:rsidR="007F16A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63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(dacă se</w:t>
            </w:r>
          </w:p>
          <w:p w:rsidR="0006636D" w:rsidRPr="0006636D" w:rsidRDefault="0006636D" w:rsidP="000663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63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cunoaşte)</w:t>
            </w:r>
          </w:p>
          <w:p w:rsidR="0006636D" w:rsidRPr="0006636D" w:rsidRDefault="0006636D" w:rsidP="000663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14" w:type="dxa"/>
          </w:tcPr>
          <w:p w:rsidR="0006636D" w:rsidRPr="0006636D" w:rsidRDefault="0006636D" w:rsidP="000663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63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Descrierea împrejurărilor</w:t>
            </w:r>
          </w:p>
          <w:p w:rsidR="0006636D" w:rsidRPr="0006636D" w:rsidRDefault="0006636D" w:rsidP="000663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63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în care</w:t>
            </w:r>
            <w:r w:rsidR="007F16A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63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 fost</w:t>
            </w:r>
          </w:p>
          <w:p w:rsidR="0006636D" w:rsidRPr="0006636D" w:rsidRDefault="0006636D" w:rsidP="000663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63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primit</w:t>
            </w:r>
            <w:r w:rsidR="007F16A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63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cadoul</w:t>
            </w:r>
          </w:p>
          <w:p w:rsidR="0006636D" w:rsidRPr="0006636D" w:rsidRDefault="0006636D" w:rsidP="000663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63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inadmisibil</w:t>
            </w:r>
          </w:p>
          <w:p w:rsidR="0006636D" w:rsidRPr="0006636D" w:rsidRDefault="0006636D" w:rsidP="000663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36" w:type="dxa"/>
          </w:tcPr>
          <w:p w:rsidR="0006636D" w:rsidRPr="0006636D" w:rsidRDefault="0006636D" w:rsidP="000663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63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Descrierea</w:t>
            </w:r>
          </w:p>
          <w:p w:rsidR="0006636D" w:rsidRPr="0006636D" w:rsidRDefault="0006636D" w:rsidP="000663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63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cadoului</w:t>
            </w:r>
          </w:p>
          <w:p w:rsidR="0006636D" w:rsidRPr="0006636D" w:rsidRDefault="0006636D" w:rsidP="000663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63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inadmisibil</w:t>
            </w:r>
          </w:p>
          <w:p w:rsidR="0006636D" w:rsidRPr="0006636D" w:rsidRDefault="0006636D" w:rsidP="000663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25" w:type="dxa"/>
          </w:tcPr>
          <w:p w:rsidR="0006636D" w:rsidRPr="0006636D" w:rsidRDefault="0006636D" w:rsidP="000663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63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Data</w:t>
            </w:r>
          </w:p>
          <w:p w:rsidR="0006636D" w:rsidRPr="0006636D" w:rsidRDefault="0006636D" w:rsidP="000663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63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transmiterii</w:t>
            </w:r>
          </w:p>
          <w:p w:rsidR="0006636D" w:rsidRPr="0006636D" w:rsidRDefault="0006636D" w:rsidP="000663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63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cadoului</w:t>
            </w:r>
          </w:p>
          <w:p w:rsidR="0006636D" w:rsidRPr="0006636D" w:rsidRDefault="0006636D" w:rsidP="000663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63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inadmisibil</w:t>
            </w:r>
          </w:p>
          <w:p w:rsidR="0006636D" w:rsidRPr="0006636D" w:rsidRDefault="0006636D" w:rsidP="000663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63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Centrului</w:t>
            </w:r>
          </w:p>
          <w:p w:rsidR="0006636D" w:rsidRPr="0006636D" w:rsidRDefault="0006636D" w:rsidP="000663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63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Naţional</w:t>
            </w:r>
          </w:p>
          <w:p w:rsidR="0006636D" w:rsidRPr="0006636D" w:rsidRDefault="0006636D" w:rsidP="000663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63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Anticorupţie</w:t>
            </w:r>
          </w:p>
          <w:p w:rsidR="0006636D" w:rsidRPr="0006636D" w:rsidRDefault="0006636D" w:rsidP="000663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69" w:type="dxa"/>
          </w:tcPr>
          <w:p w:rsidR="0006636D" w:rsidRPr="0006636D" w:rsidRDefault="0006636D" w:rsidP="000663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63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Semnătura</w:t>
            </w:r>
          </w:p>
          <w:p w:rsidR="0006636D" w:rsidRPr="0006636D" w:rsidRDefault="0006636D" w:rsidP="000663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63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secretarului</w:t>
            </w:r>
          </w:p>
          <w:p w:rsidR="0006636D" w:rsidRPr="0006636D" w:rsidRDefault="0006636D" w:rsidP="000663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63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Comisiei</w:t>
            </w:r>
          </w:p>
          <w:p w:rsidR="0006636D" w:rsidRPr="0006636D" w:rsidRDefault="0006636D" w:rsidP="000663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F16A8" w:rsidRPr="0006636D" w:rsidTr="007F16A8">
        <w:trPr>
          <w:jc w:val="center"/>
        </w:trPr>
        <w:tc>
          <w:tcPr>
            <w:tcW w:w="995" w:type="dxa"/>
          </w:tcPr>
          <w:p w:rsidR="0006636D" w:rsidRPr="0006636D" w:rsidRDefault="0006636D" w:rsidP="000663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1" w:type="dxa"/>
          </w:tcPr>
          <w:p w:rsidR="0006636D" w:rsidRPr="0006636D" w:rsidRDefault="0006636D" w:rsidP="000663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06636D" w:rsidRPr="0006636D" w:rsidRDefault="0006636D" w:rsidP="000663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</w:tcPr>
          <w:p w:rsidR="0006636D" w:rsidRPr="0006636D" w:rsidRDefault="0006636D" w:rsidP="000663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</w:tcPr>
          <w:p w:rsidR="0006636D" w:rsidRPr="0006636D" w:rsidRDefault="0006636D" w:rsidP="000663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14" w:type="dxa"/>
          </w:tcPr>
          <w:p w:rsidR="0006636D" w:rsidRPr="0006636D" w:rsidRDefault="0006636D" w:rsidP="000663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36" w:type="dxa"/>
          </w:tcPr>
          <w:p w:rsidR="0006636D" w:rsidRPr="0006636D" w:rsidRDefault="0006636D" w:rsidP="000663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25" w:type="dxa"/>
          </w:tcPr>
          <w:p w:rsidR="0006636D" w:rsidRPr="0006636D" w:rsidRDefault="0006636D" w:rsidP="000663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69" w:type="dxa"/>
          </w:tcPr>
          <w:p w:rsidR="0006636D" w:rsidRPr="0006636D" w:rsidRDefault="0006636D" w:rsidP="000663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F16A8" w:rsidRPr="0006636D" w:rsidTr="007F16A8">
        <w:trPr>
          <w:jc w:val="center"/>
        </w:trPr>
        <w:tc>
          <w:tcPr>
            <w:tcW w:w="995" w:type="dxa"/>
          </w:tcPr>
          <w:p w:rsidR="0006636D" w:rsidRPr="0006636D" w:rsidRDefault="0006636D" w:rsidP="000663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1" w:type="dxa"/>
          </w:tcPr>
          <w:p w:rsidR="0006636D" w:rsidRPr="0006636D" w:rsidRDefault="0006636D" w:rsidP="000663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06636D" w:rsidRPr="0006636D" w:rsidRDefault="0006636D" w:rsidP="000663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</w:tcPr>
          <w:p w:rsidR="0006636D" w:rsidRPr="0006636D" w:rsidRDefault="0006636D" w:rsidP="000663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92" w:type="dxa"/>
          </w:tcPr>
          <w:p w:rsidR="0006636D" w:rsidRPr="0006636D" w:rsidRDefault="0006636D" w:rsidP="000663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14" w:type="dxa"/>
          </w:tcPr>
          <w:p w:rsidR="0006636D" w:rsidRPr="0006636D" w:rsidRDefault="0006636D" w:rsidP="000663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36" w:type="dxa"/>
          </w:tcPr>
          <w:p w:rsidR="0006636D" w:rsidRPr="0006636D" w:rsidRDefault="0006636D" w:rsidP="000663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25" w:type="dxa"/>
          </w:tcPr>
          <w:p w:rsidR="0006636D" w:rsidRPr="0006636D" w:rsidRDefault="0006636D" w:rsidP="000663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69" w:type="dxa"/>
          </w:tcPr>
          <w:p w:rsidR="0006636D" w:rsidRPr="0006636D" w:rsidRDefault="0006636D" w:rsidP="000663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985D56" w:rsidRPr="00381E3C" w:rsidRDefault="00985D56" w:rsidP="00985D5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F16A8" w:rsidRDefault="007F16A8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F16A8" w:rsidRDefault="007F16A8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F16A8" w:rsidRDefault="007F16A8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F16A8" w:rsidRDefault="007F16A8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F16A8" w:rsidRDefault="007F16A8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F16A8" w:rsidRDefault="007F16A8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F16A8" w:rsidRDefault="007F16A8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F16A8" w:rsidRDefault="007F16A8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F16A8" w:rsidRDefault="007F16A8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F16A8" w:rsidRDefault="007F16A8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F16A8" w:rsidRDefault="007F16A8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F16A8" w:rsidRDefault="007F16A8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F16A8" w:rsidRDefault="007F16A8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F16A8" w:rsidRDefault="007F16A8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F16A8" w:rsidRDefault="007F16A8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F16A8" w:rsidRDefault="007F16A8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F16A8" w:rsidRDefault="007F16A8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F16A8" w:rsidRDefault="007F16A8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F16A8" w:rsidRDefault="007F16A8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F16A8" w:rsidRDefault="007F16A8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F16A8" w:rsidRDefault="007F16A8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F16A8" w:rsidRDefault="007F16A8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81E3C" w:rsidRPr="00381E3C" w:rsidRDefault="00381E3C" w:rsidP="005C32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lastRenderedPageBreak/>
        <w:t>Anexa nr.6</w:t>
      </w:r>
    </w:p>
    <w:p w:rsidR="00381E3C" w:rsidRPr="00381E3C" w:rsidRDefault="00381E3C" w:rsidP="005C32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la Regulamentul cu privire la</w:t>
      </w:r>
    </w:p>
    <w:p w:rsidR="00381E3C" w:rsidRDefault="00381E3C" w:rsidP="005C32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regimul juridic al cadourilor</w:t>
      </w:r>
    </w:p>
    <w:p w:rsidR="005C3231" w:rsidRPr="00381E3C" w:rsidRDefault="005C3231" w:rsidP="005C32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în cadrul S.A. „Drumuri Cahul”</w:t>
      </w:r>
    </w:p>
    <w:p w:rsidR="005C3231" w:rsidRDefault="005C3231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81E3C" w:rsidRPr="00381E3C" w:rsidRDefault="00381E3C" w:rsidP="005C32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ACT</w:t>
      </w:r>
    </w:p>
    <w:p w:rsidR="00381E3C" w:rsidRPr="00381E3C" w:rsidRDefault="00381E3C" w:rsidP="005C32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de returnare a cadoului admisibil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 xml:space="preserve">_____ ____________ 20___ </w:t>
      </w:r>
      <w:r w:rsidR="005C323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nr</w:t>
      </w:r>
      <w:r w:rsidR="005C323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_________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Prin prezentul act se confirmă returnarea către domnul/doamna _____</w:t>
      </w:r>
      <w:r w:rsidR="005C3231">
        <w:rPr>
          <w:rFonts w:ascii="Times New Roman" w:hAnsi="Times New Roman" w:cs="Times New Roman"/>
          <w:sz w:val="24"/>
          <w:szCs w:val="24"/>
          <w:lang w:val="en-US"/>
        </w:rPr>
        <w:t>______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___________________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</w:t>
      </w:r>
    </w:p>
    <w:p w:rsidR="00381E3C" w:rsidRPr="005C3231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C3231">
        <w:rPr>
          <w:rFonts w:ascii="Times New Roman" w:hAnsi="Times New Roman" w:cs="Times New Roman"/>
          <w:sz w:val="20"/>
          <w:szCs w:val="20"/>
          <w:lang w:val="en-US"/>
        </w:rPr>
        <w:t>(numele, prenumele, funcţia deţinută de beneficiar)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a _______________________________________________________________________________,</w:t>
      </w:r>
    </w:p>
    <w:p w:rsidR="00381E3C" w:rsidRPr="005C3231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C3231">
        <w:rPr>
          <w:rFonts w:ascii="Times New Roman" w:hAnsi="Times New Roman" w:cs="Times New Roman"/>
          <w:sz w:val="20"/>
          <w:szCs w:val="20"/>
          <w:lang w:val="en-US"/>
        </w:rPr>
        <w:t>(se indică cadoul admisibil)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primit în baza actului de predare–primire nr.</w:t>
      </w:r>
      <w:r w:rsidR="005C32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______ din ____________________________________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şi înregistrat în Registrul de evidenţă a cadourilor admisibile cu nr.</w:t>
      </w:r>
      <w:r w:rsidR="005C32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1E3C">
        <w:rPr>
          <w:rFonts w:ascii="Times New Roman" w:hAnsi="Times New Roman" w:cs="Times New Roman"/>
          <w:sz w:val="24"/>
          <w:szCs w:val="24"/>
          <w:lang w:val="en-US"/>
        </w:rPr>
        <w:t>__________________.</w:t>
      </w:r>
    </w:p>
    <w:p w:rsidR="005C3231" w:rsidRDefault="005C3231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A predat: secretarul Comisiei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Numele, prenumele_________________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Semnătura _______________________</w:t>
      </w:r>
    </w:p>
    <w:p w:rsidR="005C3231" w:rsidRDefault="005C3231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A primit:</w:t>
      </w:r>
    </w:p>
    <w:p w:rsidR="00381E3C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E3C">
        <w:rPr>
          <w:rFonts w:ascii="Times New Roman" w:hAnsi="Times New Roman" w:cs="Times New Roman"/>
          <w:sz w:val="24"/>
          <w:szCs w:val="24"/>
          <w:lang w:val="en-US"/>
        </w:rPr>
        <w:t>Numele, prenumele________________</w:t>
      </w:r>
    </w:p>
    <w:p w:rsidR="00AD3D5B" w:rsidRPr="00381E3C" w:rsidRDefault="00381E3C" w:rsidP="00162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E3C">
        <w:rPr>
          <w:rFonts w:ascii="Times New Roman" w:hAnsi="Times New Roman" w:cs="Times New Roman"/>
          <w:sz w:val="24"/>
          <w:szCs w:val="24"/>
        </w:rPr>
        <w:t>Semnătura ______________________</w:t>
      </w:r>
    </w:p>
    <w:sectPr w:rsidR="00AD3D5B" w:rsidRPr="00381E3C" w:rsidSect="00381E3C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030"/>
    <w:rsid w:val="0006636D"/>
    <w:rsid w:val="00162848"/>
    <w:rsid w:val="00381E3C"/>
    <w:rsid w:val="005C3231"/>
    <w:rsid w:val="007A7047"/>
    <w:rsid w:val="007F16A8"/>
    <w:rsid w:val="00985D56"/>
    <w:rsid w:val="009B3F25"/>
    <w:rsid w:val="00AD3D5B"/>
    <w:rsid w:val="00C13776"/>
    <w:rsid w:val="00CB5030"/>
    <w:rsid w:val="00F5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0DE86"/>
  <w15:chartTrackingRefBased/>
  <w15:docId w15:val="{19295282-23B3-47C2-BF22-0053C7D09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3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13</Pages>
  <Words>4062</Words>
  <Characters>23154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5</cp:revision>
  <dcterms:created xsi:type="dcterms:W3CDTF">2024-11-11T08:21:00Z</dcterms:created>
  <dcterms:modified xsi:type="dcterms:W3CDTF">2025-03-18T12:38:00Z</dcterms:modified>
</cp:coreProperties>
</file>